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rPr>
        <w:t xml:space="preserve"> </w:t>
      </w: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年度</w:t>
      </w:r>
      <w:r>
        <w:rPr>
          <w:rFonts w:hint="eastAsia" w:ascii="方正小标宋简体" w:eastAsia="方正小标宋简体"/>
          <w:sz w:val="44"/>
          <w:szCs w:val="44"/>
          <w:lang w:val="en-US" w:eastAsia="zh-CN"/>
        </w:rPr>
        <w:t>1-12月</w:t>
      </w:r>
      <w:r>
        <w:rPr>
          <w:rFonts w:hint="eastAsia" w:ascii="方正小标宋简体" w:eastAsia="方正小标宋简体"/>
          <w:sz w:val="44"/>
          <w:szCs w:val="44"/>
        </w:rPr>
        <w:t>被发改</w:t>
      </w:r>
      <w:r>
        <w:rPr>
          <w:rFonts w:hint="eastAsia" w:ascii="方正小标宋简体" w:eastAsia="方正小标宋简体"/>
          <w:sz w:val="44"/>
          <w:szCs w:val="44"/>
          <w:lang w:eastAsia="zh-CN"/>
        </w:rPr>
        <w:t>案件</w:t>
      </w:r>
      <w:r>
        <w:rPr>
          <w:rFonts w:hint="eastAsia" w:ascii="方正小标宋简体" w:eastAsia="方正小标宋简体"/>
          <w:sz w:val="44"/>
          <w:szCs w:val="44"/>
        </w:rPr>
        <w:t>分析</w:t>
      </w:r>
      <w:r>
        <w:rPr>
          <w:rFonts w:hint="eastAsia" w:ascii="方正小标宋简体" w:eastAsia="方正小标宋简体"/>
          <w:sz w:val="44"/>
          <w:szCs w:val="44"/>
          <w:lang w:eastAsia="zh-CN"/>
        </w:rPr>
        <w:t>报告</w:t>
      </w:r>
    </w:p>
    <w:p>
      <w:pPr>
        <w:jc w:val="center"/>
        <w:rPr>
          <w:rFonts w:ascii="楷体" w:hAnsi="楷体" w:eastAsia="楷体"/>
          <w:sz w:val="32"/>
          <w:szCs w:val="32"/>
        </w:rPr>
      </w:pPr>
      <w:r>
        <w:rPr>
          <w:rFonts w:hint="eastAsia" w:ascii="楷体" w:hAnsi="楷体" w:eastAsia="楷体"/>
          <w:sz w:val="32"/>
          <w:szCs w:val="32"/>
          <w:lang w:eastAsia="zh-CN"/>
        </w:rPr>
        <w:t>龙山区</w:t>
      </w:r>
      <w:r>
        <w:rPr>
          <w:rFonts w:hint="eastAsia" w:ascii="楷体" w:hAnsi="楷体" w:eastAsia="楷体"/>
          <w:sz w:val="32"/>
          <w:szCs w:val="32"/>
        </w:rPr>
        <w:t>人民法院</w:t>
      </w:r>
    </w:p>
    <w:p>
      <w:pPr>
        <w:ind w:firstLine="640" w:firstLineChars="200"/>
        <w:rPr>
          <w:rFonts w:ascii="仿宋" w:hAnsi="仿宋" w:eastAsia="仿宋"/>
          <w:sz w:val="32"/>
          <w:szCs w:val="32"/>
        </w:rPr>
      </w:pPr>
      <w:r>
        <w:rPr>
          <w:rFonts w:hint="eastAsia" w:ascii="仿宋" w:hAnsi="仿宋" w:eastAsia="仿宋"/>
          <w:sz w:val="32"/>
          <w:szCs w:val="32"/>
        </w:rPr>
        <w:t>为了解我院被发改案件的具体情况，获取被发改案件的原因、构成及存在问题，以期为解决被发改案件中存在的共性问题提供参考，</w:t>
      </w:r>
      <w:r>
        <w:rPr>
          <w:rFonts w:hint="eastAsia" w:ascii="仿宋" w:hAnsi="仿宋" w:eastAsia="仿宋"/>
          <w:sz w:val="32"/>
          <w:szCs w:val="32"/>
          <w:lang w:eastAsia="zh-CN"/>
        </w:rPr>
        <w:t>提高我院案件办理质量指标，</w:t>
      </w:r>
      <w:r>
        <w:rPr>
          <w:rFonts w:hint="eastAsia" w:ascii="仿宋" w:hAnsi="仿宋" w:eastAsia="仿宋"/>
          <w:sz w:val="32"/>
          <w:szCs w:val="32"/>
        </w:rPr>
        <w:t>结合中院</w:t>
      </w: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val="en-US" w:eastAsia="zh-CN"/>
        </w:rPr>
        <w:t>1-12月</w:t>
      </w:r>
      <w:r>
        <w:rPr>
          <w:rFonts w:hint="eastAsia" w:ascii="仿宋" w:hAnsi="仿宋" w:eastAsia="仿宋"/>
          <w:sz w:val="32"/>
          <w:szCs w:val="32"/>
        </w:rPr>
        <w:t>发改案件数据及</w:t>
      </w:r>
      <w:r>
        <w:rPr>
          <w:rFonts w:hint="eastAsia" w:ascii="仿宋" w:hAnsi="仿宋" w:eastAsia="仿宋"/>
          <w:sz w:val="32"/>
          <w:szCs w:val="32"/>
          <w:lang w:val="en-US" w:eastAsia="zh-CN"/>
        </w:rPr>
        <w:t>2021</w:t>
      </w:r>
      <w:r>
        <w:rPr>
          <w:rFonts w:hint="eastAsia" w:ascii="仿宋" w:hAnsi="仿宋" w:eastAsia="仿宋"/>
          <w:sz w:val="32"/>
          <w:szCs w:val="32"/>
        </w:rPr>
        <w:t>年度</w:t>
      </w:r>
      <w:r>
        <w:rPr>
          <w:rFonts w:hint="eastAsia" w:ascii="仿宋" w:hAnsi="仿宋" w:eastAsia="仿宋"/>
          <w:sz w:val="32"/>
          <w:szCs w:val="32"/>
          <w:lang w:val="en-US" w:eastAsia="zh-CN"/>
        </w:rPr>
        <w:t>1-12月</w:t>
      </w:r>
      <w:r>
        <w:rPr>
          <w:rFonts w:hint="eastAsia" w:ascii="仿宋" w:hAnsi="仿宋" w:eastAsia="仿宋"/>
          <w:sz w:val="32"/>
          <w:szCs w:val="32"/>
        </w:rPr>
        <w:t>我院上诉移送案件数据，特分析如下：</w:t>
      </w:r>
    </w:p>
    <w:p>
      <w:pPr>
        <w:numPr>
          <w:ilvl w:val="0"/>
          <w:numId w:val="1"/>
        </w:numPr>
        <w:ind w:left="410" w:leftChars="0" w:firstLine="640" w:firstLineChars="0"/>
        <w:rPr>
          <w:rFonts w:ascii="黑体" w:hAnsi="黑体" w:eastAsia="黑体" w:cs="黑体"/>
          <w:sz w:val="32"/>
          <w:szCs w:val="32"/>
        </w:rPr>
      </w:pPr>
      <w:r>
        <w:rPr>
          <w:rFonts w:hint="eastAsia" w:ascii="黑体" w:hAnsi="黑体" w:eastAsia="黑体" w:cs="黑体"/>
          <w:sz w:val="32"/>
          <w:szCs w:val="32"/>
        </w:rPr>
        <w:t>整体情况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lang w:val="en-US" w:eastAsia="zh-CN"/>
        </w:rPr>
        <w:t>服判息诉率情况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2021</w:t>
      </w:r>
      <w:r>
        <w:rPr>
          <w:rFonts w:hint="eastAsia" w:ascii="仿宋" w:hAnsi="仿宋" w:eastAsia="仿宋"/>
          <w:sz w:val="32"/>
          <w:szCs w:val="32"/>
        </w:rPr>
        <w:t>年</w:t>
      </w:r>
      <w:r>
        <w:rPr>
          <w:rFonts w:hint="eastAsia" w:ascii="仿宋" w:hAnsi="仿宋" w:eastAsia="仿宋"/>
          <w:sz w:val="32"/>
          <w:szCs w:val="32"/>
          <w:lang w:val="en-US" w:eastAsia="zh-CN"/>
        </w:rPr>
        <w:t>1-12月</w:t>
      </w:r>
      <w:r>
        <w:rPr>
          <w:rFonts w:hint="eastAsia" w:ascii="仿宋" w:hAnsi="仿宋" w:eastAsia="仿宋"/>
          <w:sz w:val="32"/>
          <w:szCs w:val="32"/>
        </w:rPr>
        <w:t>，</w:t>
      </w:r>
      <w:r>
        <w:rPr>
          <w:rFonts w:hint="eastAsia" w:ascii="仿宋" w:hAnsi="仿宋" w:eastAsia="仿宋"/>
          <w:sz w:val="32"/>
          <w:szCs w:val="32"/>
          <w:lang w:val="en-US" w:eastAsia="zh-CN"/>
        </w:rPr>
        <w:t>我院受理诉讼案件4108件，结案3891件，结案率94.72%，其中一审结案3439件，生效结案3504件；截至12月31日</w:t>
      </w:r>
      <w:r>
        <w:rPr>
          <w:rFonts w:hint="eastAsia" w:ascii="仿宋" w:hAnsi="仿宋" w:eastAsia="仿宋"/>
          <w:sz w:val="32"/>
          <w:szCs w:val="32"/>
        </w:rPr>
        <w:t>我院</w:t>
      </w:r>
      <w:r>
        <w:rPr>
          <w:rFonts w:hint="eastAsia" w:ascii="仿宋" w:hAnsi="仿宋" w:eastAsia="仿宋"/>
          <w:sz w:val="32"/>
          <w:szCs w:val="32"/>
          <w:lang w:eastAsia="zh-CN"/>
        </w:rPr>
        <w:t>上诉案件</w:t>
      </w:r>
      <w:r>
        <w:rPr>
          <w:rFonts w:hint="eastAsia" w:ascii="仿宋" w:hAnsi="仿宋" w:eastAsia="仿宋"/>
          <w:sz w:val="32"/>
          <w:szCs w:val="32"/>
          <w:lang w:val="en-US" w:eastAsia="zh-CN"/>
        </w:rPr>
        <w:t>共501件（详见附件一），其中2020年12月31日之前受理的案件共计上诉137件，2021年受理的案件共计上诉364件；生效申诉案件立案60件（7件为本院立案，详见附件二），一审服判息诉率为85.43%；生效案件服判息诉率为98.28%，分别在全省基层法院中排名第63、64位，整体服判息诉指标比重得分27.56%，全省基层法院排名第63位。</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（二）案件发改情况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2021年1-12月，我院共有82件案件被改判和发回重审，其中民事案件60件、刑事案件18件、行政案件4件。</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我院上诉案件二审</w:t>
      </w:r>
      <w:r>
        <w:rPr>
          <w:rFonts w:hint="eastAsia" w:ascii="仿宋" w:hAnsi="仿宋" w:eastAsia="仿宋"/>
          <w:sz w:val="32"/>
          <w:szCs w:val="32"/>
        </w:rPr>
        <w:t>被发改案件共计</w:t>
      </w:r>
      <w:r>
        <w:rPr>
          <w:rFonts w:hint="eastAsia" w:ascii="仿宋" w:hAnsi="仿宋" w:eastAsia="仿宋"/>
          <w:sz w:val="32"/>
          <w:szCs w:val="32"/>
          <w:lang w:val="en-US" w:eastAsia="zh-CN"/>
        </w:rPr>
        <w:t>63</w:t>
      </w:r>
      <w:r>
        <w:rPr>
          <w:rFonts w:hint="eastAsia" w:ascii="仿宋" w:hAnsi="仿宋" w:eastAsia="仿宋"/>
          <w:sz w:val="32"/>
          <w:szCs w:val="32"/>
        </w:rPr>
        <w:t>件</w:t>
      </w:r>
      <w:r>
        <w:rPr>
          <w:rFonts w:hint="eastAsia" w:ascii="仿宋" w:hAnsi="仿宋" w:eastAsia="仿宋"/>
          <w:sz w:val="32"/>
          <w:szCs w:val="32"/>
          <w:lang w:eastAsia="zh-CN"/>
        </w:rPr>
        <w:t>（详见附件三）。</w:t>
      </w:r>
      <w:r>
        <w:rPr>
          <w:rFonts w:hint="eastAsia" w:ascii="仿宋" w:hAnsi="仿宋" w:eastAsia="仿宋"/>
          <w:sz w:val="32"/>
          <w:szCs w:val="32"/>
          <w:lang w:val="en-US" w:eastAsia="zh-CN"/>
        </w:rPr>
        <w:t>二审</w:t>
      </w:r>
      <w:r>
        <w:rPr>
          <w:rFonts w:hint="eastAsia" w:ascii="仿宋" w:hAnsi="仿宋" w:eastAsia="仿宋"/>
          <w:sz w:val="32"/>
          <w:szCs w:val="32"/>
          <w:lang w:eastAsia="zh-CN"/>
        </w:rPr>
        <w:t>被发改案件中，</w:t>
      </w:r>
      <w:r>
        <w:rPr>
          <w:rFonts w:hint="eastAsia" w:ascii="仿宋" w:hAnsi="仿宋" w:eastAsia="仿宋"/>
          <w:sz w:val="32"/>
          <w:szCs w:val="32"/>
        </w:rPr>
        <w:t>民事案件</w:t>
      </w:r>
      <w:r>
        <w:rPr>
          <w:rFonts w:hint="eastAsia" w:ascii="仿宋" w:hAnsi="仿宋" w:eastAsia="仿宋"/>
          <w:sz w:val="32"/>
          <w:szCs w:val="32"/>
          <w:lang w:val="en-US" w:eastAsia="zh-CN"/>
        </w:rPr>
        <w:t>45</w:t>
      </w:r>
      <w:r>
        <w:rPr>
          <w:rFonts w:hint="eastAsia" w:ascii="仿宋" w:hAnsi="仿宋" w:eastAsia="仿宋"/>
          <w:sz w:val="32"/>
          <w:szCs w:val="32"/>
        </w:rPr>
        <w:t>件、刑事</w:t>
      </w:r>
      <w:r>
        <w:rPr>
          <w:rFonts w:hint="eastAsia" w:ascii="仿宋" w:hAnsi="仿宋" w:eastAsia="仿宋"/>
          <w:sz w:val="32"/>
          <w:szCs w:val="32"/>
          <w:lang w:val="en-US" w:eastAsia="zh-CN"/>
        </w:rPr>
        <w:t>15</w:t>
      </w:r>
      <w:r>
        <w:rPr>
          <w:rFonts w:hint="eastAsia" w:ascii="仿宋" w:hAnsi="仿宋" w:eastAsia="仿宋"/>
          <w:sz w:val="32"/>
          <w:szCs w:val="32"/>
        </w:rPr>
        <w:t>件、行政</w:t>
      </w:r>
      <w:r>
        <w:rPr>
          <w:rFonts w:hint="eastAsia" w:ascii="仿宋" w:hAnsi="仿宋" w:eastAsia="仿宋"/>
          <w:sz w:val="32"/>
          <w:szCs w:val="32"/>
          <w:lang w:val="en-US" w:eastAsia="zh-CN"/>
        </w:rPr>
        <w:t>3</w:t>
      </w:r>
      <w:r>
        <w:rPr>
          <w:rFonts w:hint="eastAsia" w:ascii="仿宋" w:hAnsi="仿宋" w:eastAsia="仿宋"/>
          <w:sz w:val="32"/>
          <w:szCs w:val="32"/>
        </w:rPr>
        <w:t>件</w:t>
      </w:r>
      <w:r>
        <w:rPr>
          <w:rFonts w:hint="eastAsia" w:ascii="仿宋" w:hAnsi="仿宋" w:eastAsia="仿宋"/>
          <w:sz w:val="32"/>
          <w:szCs w:val="32"/>
          <w:lang w:eastAsia="zh-CN"/>
        </w:rPr>
        <w:t>；</w:t>
      </w:r>
      <w:r>
        <w:rPr>
          <w:rFonts w:hint="eastAsia" w:ascii="仿宋" w:hAnsi="仿宋" w:eastAsia="仿宋"/>
          <w:sz w:val="32"/>
          <w:szCs w:val="32"/>
          <w:lang w:val="en-US" w:eastAsia="zh-CN"/>
        </w:rPr>
        <w:t>本院再审发改案件19件（详见附件四），其中</w:t>
      </w:r>
      <w:r>
        <w:rPr>
          <w:rFonts w:hint="eastAsia" w:ascii="仿宋" w:hAnsi="仿宋" w:eastAsia="仿宋"/>
          <w:sz w:val="32"/>
          <w:szCs w:val="32"/>
        </w:rPr>
        <w:t>民事</w:t>
      </w:r>
      <w:r>
        <w:rPr>
          <w:rFonts w:hint="eastAsia" w:ascii="仿宋" w:hAnsi="仿宋" w:eastAsia="仿宋"/>
          <w:sz w:val="32"/>
          <w:szCs w:val="32"/>
          <w:lang w:val="en-US" w:eastAsia="zh-CN"/>
        </w:rPr>
        <w:t>15</w:t>
      </w:r>
      <w:r>
        <w:rPr>
          <w:rFonts w:hint="eastAsia" w:ascii="仿宋" w:hAnsi="仿宋" w:eastAsia="仿宋"/>
          <w:sz w:val="32"/>
          <w:szCs w:val="32"/>
        </w:rPr>
        <w:t>件、</w:t>
      </w:r>
      <w:r>
        <w:rPr>
          <w:rFonts w:hint="eastAsia" w:ascii="仿宋" w:hAnsi="仿宋" w:eastAsia="仿宋"/>
          <w:sz w:val="32"/>
          <w:szCs w:val="32"/>
          <w:lang w:val="en-US" w:eastAsia="zh-CN"/>
        </w:rPr>
        <w:t>刑事3件，行政1件</w:t>
      </w:r>
      <w:r>
        <w:rPr>
          <w:rFonts w:hint="eastAsia" w:ascii="仿宋" w:hAnsi="仿宋" w:eastAsia="仿宋"/>
          <w:sz w:val="32"/>
          <w:szCs w:val="32"/>
        </w:rPr>
        <w:t>。</w:t>
      </w:r>
    </w:p>
    <w:p>
      <w:pPr>
        <w:ind w:firstLine="640" w:firstLineChars="200"/>
        <w:rPr>
          <w:rFonts w:hint="eastAsia" w:ascii="仿宋" w:hAnsi="仿宋" w:eastAsia="仿宋"/>
          <w:color w:val="0000FF"/>
          <w:sz w:val="32"/>
          <w:szCs w:val="32"/>
        </w:rPr>
      </w:pPr>
      <w:r>
        <w:rPr>
          <w:rFonts w:hint="eastAsia" w:ascii="仿宋" w:hAnsi="仿宋" w:eastAsia="仿宋"/>
          <w:sz w:val="32"/>
          <w:szCs w:val="32"/>
          <w:lang w:val="en-US" w:eastAsia="zh-CN"/>
        </w:rPr>
        <w:t>发改案件共</w:t>
      </w:r>
      <w:r>
        <w:rPr>
          <w:rFonts w:hint="eastAsia" w:ascii="仿宋" w:hAnsi="仿宋" w:eastAsia="仿宋"/>
          <w:sz w:val="32"/>
          <w:szCs w:val="32"/>
        </w:rPr>
        <w:t>涉及民事案由</w:t>
      </w:r>
      <w:r>
        <w:rPr>
          <w:rFonts w:hint="eastAsia" w:ascii="仿宋" w:hAnsi="仿宋" w:eastAsia="仿宋"/>
          <w:sz w:val="32"/>
          <w:szCs w:val="32"/>
          <w:lang w:val="en-US" w:eastAsia="zh-CN"/>
        </w:rPr>
        <w:t>19</w:t>
      </w:r>
      <w:r>
        <w:rPr>
          <w:rFonts w:hint="eastAsia" w:ascii="仿宋" w:hAnsi="仿宋" w:eastAsia="仿宋"/>
          <w:sz w:val="32"/>
          <w:szCs w:val="32"/>
        </w:rPr>
        <w:t>个，刑事案由</w:t>
      </w:r>
      <w:r>
        <w:rPr>
          <w:rFonts w:hint="eastAsia" w:ascii="仿宋" w:hAnsi="仿宋" w:eastAsia="仿宋"/>
          <w:sz w:val="32"/>
          <w:szCs w:val="32"/>
          <w:lang w:val="en-US" w:eastAsia="zh-CN"/>
        </w:rPr>
        <w:t>8</w:t>
      </w:r>
      <w:r>
        <w:rPr>
          <w:rFonts w:hint="eastAsia" w:ascii="仿宋" w:hAnsi="仿宋" w:eastAsia="仿宋"/>
          <w:sz w:val="32"/>
          <w:szCs w:val="32"/>
        </w:rPr>
        <w:t>个、行政案由</w:t>
      </w:r>
      <w:r>
        <w:rPr>
          <w:rFonts w:hint="eastAsia" w:ascii="仿宋" w:hAnsi="仿宋" w:eastAsia="仿宋"/>
          <w:sz w:val="32"/>
          <w:szCs w:val="32"/>
          <w:lang w:val="en-US" w:eastAsia="zh-CN"/>
        </w:rPr>
        <w:t>4</w:t>
      </w:r>
      <w:r>
        <w:rPr>
          <w:rFonts w:hint="eastAsia" w:ascii="仿宋" w:hAnsi="仿宋" w:eastAsia="仿宋"/>
          <w:sz w:val="32"/>
          <w:szCs w:val="32"/>
        </w:rPr>
        <w:t>个。</w:t>
      </w:r>
      <w:r>
        <w:rPr>
          <w:rFonts w:hint="eastAsia" w:ascii="仿宋" w:hAnsi="仿宋" w:eastAsia="仿宋"/>
          <w:color w:val="0000FF"/>
          <w:sz w:val="32"/>
          <w:szCs w:val="32"/>
        </w:rPr>
        <w:t>发改原因涉及认定事实不清</w:t>
      </w:r>
      <w:r>
        <w:rPr>
          <w:rFonts w:hint="eastAsia" w:ascii="仿宋" w:hAnsi="仿宋" w:eastAsia="仿宋"/>
          <w:color w:val="0000FF"/>
          <w:sz w:val="32"/>
          <w:szCs w:val="32"/>
          <w:lang w:val="en-US" w:eastAsia="zh-CN"/>
        </w:rPr>
        <w:t>X</w:t>
      </w:r>
      <w:r>
        <w:rPr>
          <w:rFonts w:hint="eastAsia" w:ascii="仿宋" w:hAnsi="仿宋" w:eastAsia="仿宋"/>
          <w:color w:val="0000FF"/>
          <w:sz w:val="32"/>
          <w:szCs w:val="32"/>
        </w:rPr>
        <w:t>件、适用法律错误</w:t>
      </w:r>
      <w:r>
        <w:rPr>
          <w:rFonts w:hint="eastAsia" w:ascii="仿宋" w:hAnsi="仿宋" w:eastAsia="仿宋"/>
          <w:color w:val="0000FF"/>
          <w:sz w:val="32"/>
          <w:szCs w:val="32"/>
          <w:lang w:val="en-US" w:eastAsia="zh-CN"/>
        </w:rPr>
        <w:t>X</w:t>
      </w:r>
      <w:r>
        <w:rPr>
          <w:rFonts w:hint="eastAsia" w:ascii="仿宋" w:hAnsi="仿宋" w:eastAsia="仿宋"/>
          <w:color w:val="0000FF"/>
          <w:sz w:val="32"/>
          <w:szCs w:val="32"/>
        </w:rPr>
        <w:t>件、出现新证据</w:t>
      </w:r>
      <w:r>
        <w:rPr>
          <w:rFonts w:hint="eastAsia" w:ascii="仿宋" w:hAnsi="仿宋" w:eastAsia="仿宋"/>
          <w:color w:val="0000FF"/>
          <w:sz w:val="32"/>
          <w:szCs w:val="32"/>
          <w:lang w:val="en-US" w:eastAsia="zh-CN"/>
        </w:rPr>
        <w:t>X</w:t>
      </w:r>
      <w:r>
        <w:rPr>
          <w:rFonts w:hint="eastAsia" w:ascii="仿宋" w:hAnsi="仿宋" w:eastAsia="仿宋"/>
          <w:color w:val="0000FF"/>
          <w:sz w:val="32"/>
          <w:szCs w:val="32"/>
        </w:rPr>
        <w:t>件、程序违法</w:t>
      </w:r>
      <w:r>
        <w:rPr>
          <w:rFonts w:hint="eastAsia" w:ascii="仿宋" w:hAnsi="仿宋" w:eastAsia="仿宋"/>
          <w:color w:val="0000FF"/>
          <w:sz w:val="32"/>
          <w:szCs w:val="32"/>
          <w:lang w:val="en-US" w:eastAsia="zh-CN"/>
        </w:rPr>
        <w:t>X</w:t>
      </w:r>
      <w:r>
        <w:rPr>
          <w:rFonts w:hint="eastAsia" w:ascii="仿宋" w:hAnsi="仿宋" w:eastAsia="仿宋"/>
          <w:color w:val="0000FF"/>
          <w:sz w:val="32"/>
          <w:szCs w:val="32"/>
        </w:rPr>
        <w:t>件</w:t>
      </w:r>
      <w:r>
        <w:rPr>
          <w:rFonts w:hint="eastAsia" w:ascii="仿宋" w:hAnsi="仿宋" w:eastAsia="仿宋"/>
          <w:color w:val="0000FF"/>
          <w:sz w:val="32"/>
          <w:szCs w:val="32"/>
          <w:lang w:eastAsia="zh-CN"/>
        </w:rPr>
        <w:t>、两级法院认识理解不同</w:t>
      </w:r>
      <w:r>
        <w:rPr>
          <w:rFonts w:hint="eastAsia" w:ascii="仿宋" w:hAnsi="仿宋" w:eastAsia="仿宋"/>
          <w:color w:val="0000FF"/>
          <w:sz w:val="32"/>
          <w:szCs w:val="32"/>
          <w:lang w:val="en-US" w:eastAsia="zh-CN"/>
        </w:rPr>
        <w:t>X件</w:t>
      </w:r>
      <w:r>
        <w:rPr>
          <w:rFonts w:hint="eastAsia" w:ascii="仿宋" w:hAnsi="仿宋" w:eastAsia="仿宋"/>
          <w:color w:val="0000FF"/>
          <w:sz w:val="32"/>
          <w:szCs w:val="32"/>
        </w:rPr>
        <w:t>。</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二、数据简要分析</w:t>
      </w:r>
    </w:p>
    <w:p>
      <w:pP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080000" cy="4255770"/>
            <wp:effectExtent l="4445" t="4445" r="20955" b="698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800" w:firstLineChars="250"/>
        <w:rPr>
          <w:rFonts w:hint="eastAsia" w:ascii="仿宋" w:hAnsi="仿宋" w:eastAsia="仿宋"/>
          <w:color w:val="auto"/>
          <w:sz w:val="32"/>
          <w:szCs w:val="32"/>
        </w:rPr>
      </w:pPr>
      <w:r>
        <w:rPr>
          <w:rFonts w:hint="eastAsia" w:ascii="仿宋" w:hAnsi="仿宋" w:eastAsia="仿宋"/>
          <w:color w:val="auto"/>
          <w:sz w:val="32"/>
          <w:szCs w:val="32"/>
        </w:rPr>
        <w:t>如上图所示，被发改案件、上诉案件、结案三者在增减趋势上基本一致，与收案数趋势相差较大，故以下分析数据样本采取结案数。</w:t>
      </w:r>
    </w:p>
    <w:p>
      <w:pPr>
        <w:ind w:firstLine="800" w:firstLineChars="250"/>
        <w:rPr>
          <w:rFonts w:hint="eastAsia" w:ascii="仿宋" w:hAnsi="仿宋" w:eastAsia="仿宋"/>
          <w:color w:val="0000FF"/>
          <w:sz w:val="32"/>
          <w:szCs w:val="32"/>
        </w:rPr>
      </w:pPr>
    </w:p>
    <w:p>
      <w:pPr>
        <w:ind w:firstLine="800" w:firstLineChars="250"/>
        <w:rPr>
          <w:rFonts w:hint="eastAsia" w:ascii="仿宋" w:hAnsi="仿宋" w:eastAsia="仿宋"/>
          <w:color w:val="0000FF"/>
          <w:sz w:val="32"/>
          <w:szCs w:val="32"/>
        </w:rPr>
      </w:pPr>
    </w:p>
    <w:p>
      <w:pPr>
        <w:widowControl/>
        <w:jc w:val="center"/>
        <w:textAlignment w:val="bottom"/>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2、各类型案件上诉</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val="en-US" w:eastAsia="zh-CN" w:bidi="ar"/>
        </w:rPr>
        <w:t>申诉、</w:t>
      </w:r>
      <w:r>
        <w:rPr>
          <w:rFonts w:hint="eastAsia" w:ascii="宋体" w:hAnsi="宋体" w:eastAsia="宋体" w:cs="宋体"/>
          <w:color w:val="000000"/>
          <w:kern w:val="0"/>
          <w:sz w:val="22"/>
          <w:lang w:bidi="ar"/>
        </w:rPr>
        <w:t>发改情况</w:t>
      </w:r>
      <w:r>
        <w:rPr>
          <w:rFonts w:hint="eastAsia" w:ascii="宋体" w:hAnsi="宋体" w:eastAsia="宋体" w:cs="宋体"/>
          <w:color w:val="000000"/>
          <w:kern w:val="0"/>
          <w:sz w:val="15"/>
          <w:szCs w:val="15"/>
          <w:lang w:eastAsia="zh-CN" w:bidi="ar"/>
        </w:rPr>
        <w:t>（</w:t>
      </w:r>
      <w:r>
        <w:rPr>
          <w:rFonts w:hint="eastAsia" w:ascii="宋体" w:hAnsi="宋体" w:eastAsia="宋体" w:cs="宋体"/>
          <w:color w:val="000000"/>
          <w:kern w:val="0"/>
          <w:sz w:val="15"/>
          <w:szCs w:val="15"/>
          <w:lang w:val="en-US" w:eastAsia="zh-CN" w:bidi="ar"/>
        </w:rPr>
        <w:t>以考核公式计算</w:t>
      </w:r>
      <w:r>
        <w:rPr>
          <w:rFonts w:hint="eastAsia" w:ascii="宋体" w:hAnsi="宋体" w:eastAsia="宋体" w:cs="宋体"/>
          <w:color w:val="000000"/>
          <w:kern w:val="0"/>
          <w:sz w:val="15"/>
          <w:szCs w:val="15"/>
          <w:lang w:eastAsia="zh-CN" w:bidi="ar"/>
        </w:rPr>
        <w:t>）</w:t>
      </w:r>
    </w:p>
    <w:tbl>
      <w:tblPr>
        <w:tblStyle w:val="6"/>
        <w:tblW w:w="4995" w:type="pct"/>
        <w:tblInd w:w="0" w:type="dxa"/>
        <w:tblLayout w:type="autofit"/>
        <w:tblCellMar>
          <w:top w:w="15" w:type="dxa"/>
          <w:left w:w="15" w:type="dxa"/>
          <w:bottom w:w="15" w:type="dxa"/>
          <w:right w:w="15" w:type="dxa"/>
        </w:tblCellMar>
      </w:tblPr>
      <w:tblGrid>
        <w:gridCol w:w="677"/>
        <w:gridCol w:w="677"/>
        <w:gridCol w:w="682"/>
        <w:gridCol w:w="682"/>
        <w:gridCol w:w="682"/>
        <w:gridCol w:w="682"/>
        <w:gridCol w:w="682"/>
        <w:gridCol w:w="794"/>
        <w:gridCol w:w="850"/>
        <w:gridCol w:w="960"/>
        <w:gridCol w:w="960"/>
      </w:tblGrid>
      <w:tr>
        <w:tblPrEx>
          <w:tblCellMar>
            <w:top w:w="15" w:type="dxa"/>
            <w:left w:w="15" w:type="dxa"/>
            <w:bottom w:w="15" w:type="dxa"/>
            <w:right w:w="15" w:type="dxa"/>
          </w:tblCellMar>
        </w:tblPrEx>
        <w:trPr>
          <w:trHeight w:val="286" w:hRule="atLeast"/>
        </w:trPr>
        <w:tc>
          <w:tcPr>
            <w:tcW w:w="406" w:type="pct"/>
            <w:tcBorders>
              <w:top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类型</w:t>
            </w:r>
          </w:p>
        </w:tc>
        <w:tc>
          <w:tcPr>
            <w:tcW w:w="406" w:type="pct"/>
            <w:tcBorders>
              <w:top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一审</w:t>
            </w:r>
            <w:r>
              <w:rPr>
                <w:rFonts w:hint="eastAsia" w:ascii="宋体" w:hAnsi="宋体" w:eastAsia="宋体" w:cs="宋体"/>
                <w:color w:val="000000"/>
                <w:kern w:val="0"/>
                <w:sz w:val="20"/>
                <w:szCs w:val="20"/>
                <w:lang w:bidi="ar"/>
              </w:rPr>
              <w:t>结案</w:t>
            </w:r>
          </w:p>
        </w:tc>
        <w:tc>
          <w:tcPr>
            <w:tcW w:w="409" w:type="pct"/>
            <w:tcBorders>
              <w:top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上诉</w:t>
            </w:r>
          </w:p>
        </w:tc>
        <w:tc>
          <w:tcPr>
            <w:tcW w:w="409" w:type="pct"/>
            <w:tcBorders>
              <w:top w:val="single" w:color="000000" w:sz="4" w:space="0"/>
              <w:bottom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生效案件结案</w:t>
            </w:r>
          </w:p>
        </w:tc>
        <w:tc>
          <w:tcPr>
            <w:tcW w:w="409" w:type="pct"/>
            <w:tcBorders>
              <w:top w:val="single" w:color="000000" w:sz="4" w:space="0"/>
              <w:bottom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申请再审</w:t>
            </w:r>
          </w:p>
        </w:tc>
        <w:tc>
          <w:tcPr>
            <w:tcW w:w="409" w:type="pct"/>
            <w:tcBorders>
              <w:top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二审</w:t>
            </w:r>
            <w:r>
              <w:rPr>
                <w:rFonts w:hint="eastAsia" w:ascii="宋体" w:hAnsi="宋体" w:eastAsia="宋体" w:cs="宋体"/>
                <w:color w:val="000000"/>
                <w:kern w:val="0"/>
                <w:sz w:val="20"/>
                <w:szCs w:val="20"/>
                <w:lang w:bidi="ar"/>
              </w:rPr>
              <w:t>发改</w:t>
            </w:r>
          </w:p>
        </w:tc>
        <w:tc>
          <w:tcPr>
            <w:tcW w:w="409" w:type="pct"/>
            <w:tcBorders>
              <w:top w:val="single" w:color="000000" w:sz="4" w:space="0"/>
              <w:bottom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再审发改</w:t>
            </w:r>
          </w:p>
        </w:tc>
        <w:tc>
          <w:tcPr>
            <w:tcW w:w="476" w:type="pct"/>
            <w:tcBorders>
              <w:top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二审</w:t>
            </w:r>
            <w:r>
              <w:rPr>
                <w:rFonts w:hint="eastAsia" w:ascii="宋体" w:hAnsi="宋体" w:eastAsia="宋体" w:cs="宋体"/>
                <w:color w:val="000000"/>
                <w:kern w:val="0"/>
                <w:sz w:val="20"/>
                <w:szCs w:val="20"/>
                <w:lang w:bidi="ar"/>
              </w:rPr>
              <w:t>发改率</w:t>
            </w:r>
          </w:p>
        </w:tc>
        <w:tc>
          <w:tcPr>
            <w:tcW w:w="510" w:type="pct"/>
            <w:tcBorders>
              <w:top w:val="single" w:color="000000" w:sz="4" w:space="0"/>
              <w:bottom w:val="single" w:color="000000" w:sz="4" w:space="0"/>
            </w:tcBorders>
            <w:shd w:val="clear" w:color="auto" w:fill="auto"/>
            <w:vAlign w:val="bottom"/>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再审发改率</w:t>
            </w:r>
          </w:p>
        </w:tc>
        <w:tc>
          <w:tcPr>
            <w:tcW w:w="576" w:type="pct"/>
            <w:tcBorders>
              <w:top w:val="single" w:color="000000" w:sz="4" w:space="0"/>
              <w:bottom w:val="single" w:color="000000" w:sz="4" w:space="0"/>
            </w:tcBorders>
            <w:shd w:val="clear" w:color="auto" w:fill="auto"/>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上诉率</w:t>
            </w:r>
          </w:p>
        </w:tc>
        <w:tc>
          <w:tcPr>
            <w:tcW w:w="576" w:type="pct"/>
            <w:tcBorders>
              <w:top w:val="single" w:color="000000" w:sz="4" w:space="0"/>
              <w:bottom w:val="single" w:color="000000" w:sz="4" w:space="0"/>
            </w:tcBorders>
            <w:shd w:val="clear" w:color="auto" w:fill="auto"/>
            <w:vAlign w:val="bottom"/>
          </w:tcPr>
          <w:p>
            <w:pPr>
              <w:widowControl/>
              <w:jc w:val="center"/>
              <w:textAlignment w:val="bottom"/>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申诉率</w:t>
            </w:r>
          </w:p>
        </w:tc>
      </w:tr>
      <w:tr>
        <w:tblPrEx>
          <w:tblCellMar>
            <w:top w:w="15" w:type="dxa"/>
            <w:left w:w="15" w:type="dxa"/>
            <w:bottom w:w="15" w:type="dxa"/>
            <w:right w:w="15" w:type="dxa"/>
          </w:tblCellMar>
        </w:tblPrEx>
        <w:trPr>
          <w:trHeight w:val="286" w:hRule="atLeast"/>
        </w:trPr>
        <w:tc>
          <w:tcPr>
            <w:tcW w:w="406" w:type="pct"/>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民事</w:t>
            </w:r>
          </w:p>
        </w:tc>
        <w:tc>
          <w:tcPr>
            <w:tcW w:w="406" w:type="pct"/>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2994</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399</w:t>
            </w:r>
          </w:p>
        </w:tc>
        <w:tc>
          <w:tcPr>
            <w:tcW w:w="409" w:type="pct"/>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3075</w:t>
            </w:r>
          </w:p>
        </w:tc>
        <w:tc>
          <w:tcPr>
            <w:tcW w:w="409" w:type="pct"/>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38</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45</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15</w:t>
            </w:r>
          </w:p>
        </w:tc>
        <w:tc>
          <w:tcPr>
            <w:tcW w:w="476" w:type="pct"/>
            <w:shd w:val="clear" w:color="auto" w:fill="auto"/>
            <w:vAlign w:val="center"/>
          </w:tcPr>
          <w:p>
            <w:pPr>
              <w:widowControl/>
              <w:jc w:val="center"/>
              <w:textAlignment w:val="center"/>
              <w:rPr>
                <w:rFonts w:ascii="Arial" w:hAnsi="Arial" w:cs="Arial"/>
                <w:color w:val="000000"/>
                <w:sz w:val="20"/>
                <w:szCs w:val="20"/>
              </w:rPr>
            </w:pPr>
            <w:r>
              <w:rPr>
                <w:rFonts w:hint="eastAsia" w:ascii="Arial" w:hAnsi="Arial" w:eastAsia="宋体" w:cs="Arial"/>
                <w:color w:val="000000"/>
                <w:kern w:val="0"/>
                <w:sz w:val="20"/>
                <w:szCs w:val="20"/>
                <w:lang w:val="en-US" w:eastAsia="zh-CN" w:bidi="ar"/>
              </w:rPr>
              <w:t>1.50</w:t>
            </w:r>
            <w:r>
              <w:rPr>
                <w:rFonts w:ascii="Arial" w:hAnsi="Arial" w:eastAsia="宋体" w:cs="Arial"/>
                <w:color w:val="000000"/>
                <w:kern w:val="0"/>
                <w:sz w:val="20"/>
                <w:szCs w:val="20"/>
                <w:lang w:bidi="ar"/>
              </w:rPr>
              <w:t>%</w:t>
            </w:r>
          </w:p>
        </w:tc>
        <w:tc>
          <w:tcPr>
            <w:tcW w:w="510" w:type="pct"/>
            <w:shd w:val="clear" w:color="auto" w:fill="auto"/>
            <w:vAlign w:val="bottom"/>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0.49%</w:t>
            </w:r>
          </w:p>
        </w:tc>
        <w:tc>
          <w:tcPr>
            <w:tcW w:w="576" w:type="pct"/>
            <w:shd w:val="clear" w:color="auto" w:fill="auto"/>
            <w:vAlign w:val="bottom"/>
          </w:tcPr>
          <w:p>
            <w:pPr>
              <w:widowControl/>
              <w:jc w:val="center"/>
              <w:textAlignment w:val="bottom"/>
              <w:rPr>
                <w:rFonts w:ascii="Arial" w:hAnsi="Arial" w:cs="Arial"/>
                <w:color w:val="000000"/>
                <w:sz w:val="20"/>
                <w:szCs w:val="20"/>
              </w:rPr>
            </w:pPr>
            <w:r>
              <w:rPr>
                <w:rFonts w:hint="eastAsia" w:ascii="Arial" w:hAnsi="Arial" w:eastAsia="宋体" w:cs="Arial"/>
                <w:color w:val="000000"/>
                <w:kern w:val="0"/>
                <w:sz w:val="20"/>
                <w:szCs w:val="20"/>
                <w:lang w:val="en-US" w:eastAsia="zh-CN" w:bidi="ar"/>
              </w:rPr>
              <w:t>13.33</w:t>
            </w:r>
            <w:r>
              <w:rPr>
                <w:rFonts w:ascii="Arial" w:hAnsi="Arial" w:eastAsia="宋体" w:cs="Arial"/>
                <w:color w:val="000000"/>
                <w:kern w:val="0"/>
                <w:sz w:val="20"/>
                <w:szCs w:val="20"/>
                <w:lang w:bidi="ar"/>
              </w:rPr>
              <w:t>%</w:t>
            </w:r>
          </w:p>
        </w:tc>
        <w:tc>
          <w:tcPr>
            <w:tcW w:w="576" w:type="pct"/>
            <w:shd w:val="clear" w:color="auto" w:fill="auto"/>
            <w:vAlign w:val="bottom"/>
          </w:tcPr>
          <w:p>
            <w:pPr>
              <w:widowControl/>
              <w:jc w:val="center"/>
              <w:textAlignment w:val="bottom"/>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1.24%</w:t>
            </w:r>
          </w:p>
        </w:tc>
      </w:tr>
      <w:tr>
        <w:tblPrEx>
          <w:tblCellMar>
            <w:top w:w="15" w:type="dxa"/>
            <w:left w:w="15" w:type="dxa"/>
            <w:bottom w:w="15" w:type="dxa"/>
            <w:right w:w="15" w:type="dxa"/>
          </w:tblCellMar>
        </w:tblPrEx>
        <w:trPr>
          <w:trHeight w:val="286" w:hRule="atLeast"/>
        </w:trPr>
        <w:tc>
          <w:tcPr>
            <w:tcW w:w="406" w:type="pct"/>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刑事</w:t>
            </w:r>
          </w:p>
        </w:tc>
        <w:tc>
          <w:tcPr>
            <w:tcW w:w="406" w:type="pct"/>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374</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60</w:t>
            </w:r>
          </w:p>
        </w:tc>
        <w:tc>
          <w:tcPr>
            <w:tcW w:w="409" w:type="pct"/>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352</w:t>
            </w:r>
          </w:p>
        </w:tc>
        <w:tc>
          <w:tcPr>
            <w:tcW w:w="409" w:type="pct"/>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16</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15</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w:t>
            </w:r>
          </w:p>
        </w:tc>
        <w:tc>
          <w:tcPr>
            <w:tcW w:w="476" w:type="pct"/>
            <w:shd w:val="clear" w:color="auto" w:fill="auto"/>
            <w:vAlign w:val="center"/>
          </w:tcPr>
          <w:p>
            <w:pPr>
              <w:widowControl/>
              <w:jc w:val="center"/>
              <w:textAlignment w:val="center"/>
              <w:rPr>
                <w:rFonts w:ascii="Arial" w:hAnsi="Arial" w:cs="Arial"/>
                <w:color w:val="000000"/>
                <w:sz w:val="20"/>
                <w:szCs w:val="20"/>
              </w:rPr>
            </w:pPr>
            <w:r>
              <w:rPr>
                <w:rFonts w:hint="eastAsia" w:ascii="Arial" w:hAnsi="Arial" w:eastAsia="宋体" w:cs="Arial"/>
                <w:color w:val="000000"/>
                <w:kern w:val="0"/>
                <w:sz w:val="20"/>
                <w:szCs w:val="20"/>
                <w:lang w:val="en-US" w:eastAsia="zh-CN" w:bidi="ar"/>
              </w:rPr>
              <w:t>4.01</w:t>
            </w:r>
            <w:r>
              <w:rPr>
                <w:rFonts w:ascii="Arial" w:hAnsi="Arial" w:eastAsia="宋体" w:cs="Arial"/>
                <w:color w:val="000000"/>
                <w:kern w:val="0"/>
                <w:sz w:val="20"/>
                <w:szCs w:val="20"/>
                <w:lang w:bidi="ar"/>
              </w:rPr>
              <w:t>%</w:t>
            </w:r>
          </w:p>
        </w:tc>
        <w:tc>
          <w:tcPr>
            <w:tcW w:w="510" w:type="pct"/>
            <w:shd w:val="clear" w:color="auto" w:fill="auto"/>
            <w:vAlign w:val="bottom"/>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0.85%</w:t>
            </w:r>
          </w:p>
        </w:tc>
        <w:tc>
          <w:tcPr>
            <w:tcW w:w="576" w:type="pct"/>
            <w:shd w:val="clear" w:color="auto" w:fill="auto"/>
            <w:vAlign w:val="bottom"/>
          </w:tcPr>
          <w:p>
            <w:pPr>
              <w:widowControl/>
              <w:jc w:val="center"/>
              <w:textAlignment w:val="bottom"/>
              <w:rPr>
                <w:rFonts w:ascii="Arial" w:hAnsi="Arial" w:cs="Arial"/>
                <w:color w:val="000000"/>
                <w:sz w:val="20"/>
                <w:szCs w:val="20"/>
              </w:rPr>
            </w:pPr>
            <w:r>
              <w:rPr>
                <w:rFonts w:hint="eastAsia" w:ascii="Arial" w:hAnsi="Arial" w:eastAsia="宋体" w:cs="Arial"/>
                <w:color w:val="000000"/>
                <w:kern w:val="0"/>
                <w:sz w:val="20"/>
                <w:szCs w:val="20"/>
                <w:lang w:val="en-US" w:eastAsia="zh-CN" w:bidi="ar"/>
              </w:rPr>
              <w:t>16.04</w:t>
            </w:r>
            <w:r>
              <w:rPr>
                <w:rFonts w:ascii="Arial" w:hAnsi="Arial" w:eastAsia="宋体" w:cs="Arial"/>
                <w:color w:val="000000"/>
                <w:kern w:val="0"/>
                <w:sz w:val="20"/>
                <w:szCs w:val="20"/>
                <w:lang w:bidi="ar"/>
              </w:rPr>
              <w:t>%</w:t>
            </w:r>
          </w:p>
        </w:tc>
        <w:tc>
          <w:tcPr>
            <w:tcW w:w="576" w:type="pct"/>
            <w:shd w:val="clear" w:color="auto" w:fill="auto"/>
            <w:vAlign w:val="bottom"/>
          </w:tcPr>
          <w:p>
            <w:pPr>
              <w:widowControl/>
              <w:jc w:val="center"/>
              <w:textAlignment w:val="bottom"/>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4.55%</w:t>
            </w:r>
          </w:p>
        </w:tc>
      </w:tr>
      <w:tr>
        <w:tblPrEx>
          <w:tblCellMar>
            <w:top w:w="15" w:type="dxa"/>
            <w:left w:w="15" w:type="dxa"/>
            <w:bottom w:w="15" w:type="dxa"/>
            <w:right w:w="15" w:type="dxa"/>
          </w:tblCellMar>
        </w:tblPrEx>
        <w:trPr>
          <w:trHeight w:val="286" w:hRule="atLeast"/>
        </w:trPr>
        <w:tc>
          <w:tcPr>
            <w:tcW w:w="406" w:type="pct"/>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行政</w:t>
            </w:r>
          </w:p>
        </w:tc>
        <w:tc>
          <w:tcPr>
            <w:tcW w:w="406" w:type="pct"/>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71</w:t>
            </w:r>
          </w:p>
        </w:tc>
        <w:tc>
          <w:tcPr>
            <w:tcW w:w="409" w:type="pct"/>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42</w:t>
            </w:r>
          </w:p>
        </w:tc>
        <w:tc>
          <w:tcPr>
            <w:tcW w:w="409" w:type="pct"/>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74</w:t>
            </w:r>
          </w:p>
        </w:tc>
        <w:tc>
          <w:tcPr>
            <w:tcW w:w="409" w:type="pct"/>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6</w:t>
            </w:r>
          </w:p>
        </w:tc>
        <w:tc>
          <w:tcPr>
            <w:tcW w:w="409" w:type="pct"/>
            <w:shd w:val="clear" w:color="auto" w:fill="auto"/>
            <w:vAlign w:val="center"/>
          </w:tcPr>
          <w:p>
            <w:pPr>
              <w:widowControl/>
              <w:jc w:val="center"/>
              <w:textAlignment w:val="center"/>
              <w:rPr>
                <w:rFonts w:hint="eastAsia" w:ascii="Arial" w:hAnsi="Arial" w:cs="Arial" w:eastAsiaTheme="minorEastAsia"/>
                <w:color w:val="000000"/>
                <w:sz w:val="20"/>
                <w:szCs w:val="20"/>
                <w:lang w:eastAsia="zh-CN"/>
              </w:rPr>
            </w:pPr>
            <w:r>
              <w:rPr>
                <w:rFonts w:hint="eastAsia" w:ascii="Arial" w:hAnsi="Arial" w:eastAsia="宋体" w:cs="Arial"/>
                <w:color w:val="000000"/>
                <w:kern w:val="0"/>
                <w:sz w:val="20"/>
                <w:szCs w:val="20"/>
                <w:lang w:val="en-US" w:eastAsia="zh-CN" w:bidi="ar"/>
              </w:rPr>
              <w:t>3</w:t>
            </w:r>
          </w:p>
        </w:tc>
        <w:tc>
          <w:tcPr>
            <w:tcW w:w="409" w:type="pct"/>
            <w:shd w:val="clear" w:color="auto" w:fill="auto"/>
            <w:vAlign w:val="center"/>
          </w:tcPr>
          <w:p>
            <w:pPr>
              <w:widowControl/>
              <w:jc w:val="center"/>
              <w:textAlignment w:val="center"/>
              <w:rPr>
                <w:rFonts w:hint="eastAsia" w:ascii="Arial" w:hAnsi="Arial" w:cs="Arial" w:eastAsiaTheme="minorEastAsia"/>
                <w:color w:val="000000"/>
                <w:sz w:val="20"/>
                <w:szCs w:val="20"/>
                <w:lang w:eastAsia="zh-CN"/>
              </w:rPr>
            </w:pPr>
            <w:r>
              <w:rPr>
                <w:rFonts w:hint="eastAsia" w:ascii="Arial" w:hAnsi="Arial" w:eastAsia="宋体" w:cs="Arial"/>
                <w:color w:val="000000"/>
                <w:kern w:val="0"/>
                <w:sz w:val="20"/>
                <w:szCs w:val="20"/>
                <w:lang w:val="en-US" w:eastAsia="zh-CN" w:bidi="ar"/>
              </w:rPr>
              <w:t>1</w:t>
            </w:r>
          </w:p>
        </w:tc>
        <w:tc>
          <w:tcPr>
            <w:tcW w:w="476" w:type="pct"/>
            <w:shd w:val="clear" w:color="auto" w:fill="auto"/>
            <w:vAlign w:val="center"/>
          </w:tcPr>
          <w:p>
            <w:pPr>
              <w:widowControl/>
              <w:jc w:val="center"/>
              <w:textAlignment w:val="center"/>
              <w:rPr>
                <w:rFonts w:ascii="Arial" w:hAnsi="Arial" w:cs="Arial"/>
                <w:color w:val="000000"/>
                <w:sz w:val="20"/>
                <w:szCs w:val="20"/>
              </w:rPr>
            </w:pPr>
            <w:r>
              <w:rPr>
                <w:rFonts w:hint="eastAsia" w:ascii="Arial" w:hAnsi="Arial" w:eastAsia="宋体" w:cs="Arial"/>
                <w:color w:val="000000"/>
                <w:kern w:val="0"/>
                <w:sz w:val="20"/>
                <w:szCs w:val="20"/>
                <w:lang w:val="en-US" w:eastAsia="zh-CN" w:bidi="ar"/>
              </w:rPr>
              <w:t>4.23</w:t>
            </w:r>
            <w:r>
              <w:rPr>
                <w:rFonts w:ascii="Arial" w:hAnsi="Arial" w:eastAsia="宋体" w:cs="Arial"/>
                <w:color w:val="000000"/>
                <w:kern w:val="0"/>
                <w:sz w:val="20"/>
                <w:szCs w:val="20"/>
                <w:lang w:bidi="ar"/>
              </w:rPr>
              <w:t>%</w:t>
            </w:r>
          </w:p>
        </w:tc>
        <w:tc>
          <w:tcPr>
            <w:tcW w:w="510" w:type="pct"/>
            <w:shd w:val="clear" w:color="auto" w:fill="auto"/>
            <w:vAlign w:val="bottom"/>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1.35%</w:t>
            </w:r>
          </w:p>
        </w:tc>
        <w:tc>
          <w:tcPr>
            <w:tcW w:w="576" w:type="pct"/>
            <w:shd w:val="clear" w:color="auto" w:fill="auto"/>
            <w:vAlign w:val="bottom"/>
          </w:tcPr>
          <w:p>
            <w:pPr>
              <w:widowControl/>
              <w:jc w:val="center"/>
              <w:textAlignment w:val="bottom"/>
              <w:rPr>
                <w:rFonts w:ascii="Arial" w:hAnsi="Arial" w:cs="Arial"/>
                <w:color w:val="000000"/>
                <w:sz w:val="20"/>
                <w:szCs w:val="20"/>
              </w:rPr>
            </w:pPr>
            <w:r>
              <w:rPr>
                <w:rFonts w:hint="eastAsia" w:ascii="Arial" w:hAnsi="Arial" w:eastAsia="宋体" w:cs="Arial"/>
                <w:color w:val="000000"/>
                <w:kern w:val="0"/>
                <w:sz w:val="20"/>
                <w:szCs w:val="20"/>
                <w:lang w:val="en-US" w:eastAsia="zh-CN" w:bidi="ar"/>
              </w:rPr>
              <w:t>59.15</w:t>
            </w:r>
            <w:r>
              <w:rPr>
                <w:rFonts w:ascii="Arial" w:hAnsi="Arial" w:eastAsia="宋体" w:cs="Arial"/>
                <w:color w:val="000000"/>
                <w:kern w:val="0"/>
                <w:sz w:val="20"/>
                <w:szCs w:val="20"/>
                <w:lang w:bidi="ar"/>
              </w:rPr>
              <w:t>%</w:t>
            </w:r>
          </w:p>
        </w:tc>
        <w:tc>
          <w:tcPr>
            <w:tcW w:w="576" w:type="pct"/>
            <w:shd w:val="clear" w:color="auto" w:fill="auto"/>
            <w:vAlign w:val="bottom"/>
          </w:tcPr>
          <w:p>
            <w:pPr>
              <w:widowControl/>
              <w:jc w:val="center"/>
              <w:textAlignment w:val="bottom"/>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8.11%</w:t>
            </w:r>
          </w:p>
        </w:tc>
      </w:tr>
      <w:tr>
        <w:tblPrEx>
          <w:tblCellMar>
            <w:top w:w="15" w:type="dxa"/>
            <w:left w:w="15" w:type="dxa"/>
            <w:bottom w:w="15" w:type="dxa"/>
            <w:right w:w="15" w:type="dxa"/>
          </w:tblCellMar>
        </w:tblPrEx>
        <w:trPr>
          <w:trHeight w:val="286" w:hRule="atLeast"/>
        </w:trPr>
        <w:tc>
          <w:tcPr>
            <w:tcW w:w="406" w:type="pct"/>
            <w:tcBorders>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406" w:type="pct"/>
            <w:tcBorders>
              <w:bottom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Arial" w:hAnsi="Arial" w:eastAsia="宋体" w:cs="Arial"/>
                <w:color w:val="000000"/>
                <w:kern w:val="0"/>
                <w:sz w:val="20"/>
                <w:szCs w:val="20"/>
                <w:lang w:val="en-US" w:eastAsia="zh-CN" w:bidi="ar"/>
              </w:rPr>
              <w:t>3439</w:t>
            </w:r>
          </w:p>
        </w:tc>
        <w:tc>
          <w:tcPr>
            <w:tcW w:w="409" w:type="pct"/>
            <w:tcBorders>
              <w:bottom w:val="single" w:color="000000" w:sz="4" w:space="0"/>
            </w:tcBorders>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501</w:t>
            </w:r>
          </w:p>
        </w:tc>
        <w:tc>
          <w:tcPr>
            <w:tcW w:w="409" w:type="pct"/>
            <w:tcBorders>
              <w:bottom w:val="single" w:color="000000" w:sz="4" w:space="0"/>
            </w:tcBorders>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3504</w:t>
            </w:r>
          </w:p>
        </w:tc>
        <w:tc>
          <w:tcPr>
            <w:tcW w:w="409" w:type="pct"/>
            <w:tcBorders>
              <w:bottom w:val="single" w:color="000000" w:sz="4" w:space="0"/>
            </w:tcBorders>
            <w:shd w:val="clear" w:color="auto" w:fill="auto"/>
            <w:vAlign w:val="center"/>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60</w:t>
            </w:r>
          </w:p>
        </w:tc>
        <w:tc>
          <w:tcPr>
            <w:tcW w:w="409" w:type="pct"/>
            <w:tcBorders>
              <w:bottom w:val="single" w:color="000000" w:sz="4" w:space="0"/>
            </w:tcBorders>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63</w:t>
            </w:r>
          </w:p>
        </w:tc>
        <w:tc>
          <w:tcPr>
            <w:tcW w:w="409" w:type="pct"/>
            <w:tcBorders>
              <w:bottom w:val="single" w:color="000000" w:sz="4" w:space="0"/>
            </w:tcBorders>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19</w:t>
            </w:r>
          </w:p>
        </w:tc>
        <w:tc>
          <w:tcPr>
            <w:tcW w:w="476" w:type="pct"/>
            <w:tcBorders>
              <w:bottom w:val="single" w:color="000000" w:sz="4" w:space="0"/>
            </w:tcBorders>
            <w:shd w:val="clear" w:color="auto" w:fill="auto"/>
            <w:vAlign w:val="center"/>
          </w:tcPr>
          <w:p>
            <w:pPr>
              <w:widowControl/>
              <w:jc w:val="center"/>
              <w:textAlignment w:val="center"/>
              <w:rPr>
                <w:rFonts w:hint="default" w:ascii="Arial" w:hAnsi="Arial" w:cs="Arial" w:eastAsiaTheme="minorEastAsia"/>
                <w:color w:val="000000"/>
                <w:sz w:val="20"/>
                <w:szCs w:val="20"/>
                <w:lang w:val="en-US" w:eastAsia="zh-CN"/>
              </w:rPr>
            </w:pPr>
            <w:r>
              <w:rPr>
                <w:rFonts w:hint="eastAsia" w:ascii="Arial" w:hAnsi="Arial" w:eastAsia="宋体" w:cs="Arial"/>
                <w:color w:val="000000"/>
                <w:kern w:val="0"/>
                <w:sz w:val="20"/>
                <w:szCs w:val="20"/>
                <w:lang w:val="en-US" w:eastAsia="zh-CN" w:bidi="ar"/>
              </w:rPr>
              <w:t>1.83%</w:t>
            </w:r>
          </w:p>
        </w:tc>
        <w:tc>
          <w:tcPr>
            <w:tcW w:w="510" w:type="pct"/>
            <w:tcBorders>
              <w:top w:val="single" w:color="000000" w:sz="4" w:space="0"/>
              <w:bottom w:val="single" w:color="000000" w:sz="4" w:space="0"/>
            </w:tcBorders>
            <w:shd w:val="clear" w:color="auto" w:fill="auto"/>
            <w:vAlign w:val="bottom"/>
          </w:tcPr>
          <w:p>
            <w:pPr>
              <w:widowControl/>
              <w:jc w:val="center"/>
              <w:textAlignment w:val="center"/>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0.54%</w:t>
            </w:r>
          </w:p>
        </w:tc>
        <w:tc>
          <w:tcPr>
            <w:tcW w:w="576" w:type="pct"/>
            <w:tcBorders>
              <w:top w:val="single" w:color="000000" w:sz="4" w:space="0"/>
              <w:bottom w:val="single" w:color="000000" w:sz="4" w:space="0"/>
            </w:tcBorders>
            <w:shd w:val="clear" w:color="auto" w:fill="auto"/>
            <w:vAlign w:val="bottom"/>
          </w:tcPr>
          <w:p>
            <w:pPr>
              <w:widowControl/>
              <w:jc w:val="center"/>
              <w:textAlignment w:val="bottom"/>
              <w:rPr>
                <w:rFonts w:ascii="Arial" w:hAnsi="Arial" w:cs="Arial"/>
                <w:color w:val="000000"/>
                <w:sz w:val="20"/>
                <w:szCs w:val="20"/>
              </w:rPr>
            </w:pPr>
            <w:r>
              <w:rPr>
                <w:rFonts w:hint="eastAsia" w:ascii="Arial" w:hAnsi="Arial" w:eastAsia="宋体" w:cs="Arial"/>
                <w:color w:val="000000"/>
                <w:kern w:val="0"/>
                <w:sz w:val="20"/>
                <w:szCs w:val="20"/>
                <w:lang w:val="en-US" w:eastAsia="zh-CN" w:bidi="ar"/>
              </w:rPr>
              <w:t>14.57</w:t>
            </w:r>
            <w:r>
              <w:rPr>
                <w:rFonts w:ascii="Arial" w:hAnsi="Arial" w:eastAsia="宋体" w:cs="Arial"/>
                <w:color w:val="000000"/>
                <w:kern w:val="0"/>
                <w:sz w:val="20"/>
                <w:szCs w:val="20"/>
                <w:lang w:bidi="ar"/>
              </w:rPr>
              <w:t>%</w:t>
            </w:r>
          </w:p>
        </w:tc>
        <w:tc>
          <w:tcPr>
            <w:tcW w:w="576" w:type="pct"/>
            <w:tcBorders>
              <w:top w:val="single" w:color="000000" w:sz="4" w:space="0"/>
              <w:bottom w:val="single" w:color="000000" w:sz="4" w:space="0"/>
            </w:tcBorders>
            <w:shd w:val="clear" w:color="auto" w:fill="auto"/>
            <w:vAlign w:val="bottom"/>
          </w:tcPr>
          <w:p>
            <w:pPr>
              <w:widowControl/>
              <w:jc w:val="center"/>
              <w:textAlignment w:val="bottom"/>
              <w:rPr>
                <w:rFonts w:hint="default" w:ascii="Arial" w:hAnsi="Arial" w:eastAsia="宋体" w:cs="Arial"/>
                <w:color w:val="000000"/>
                <w:kern w:val="0"/>
                <w:sz w:val="20"/>
                <w:szCs w:val="20"/>
                <w:lang w:val="en-US" w:eastAsia="zh-CN" w:bidi="ar"/>
              </w:rPr>
            </w:pPr>
            <w:r>
              <w:rPr>
                <w:rFonts w:hint="eastAsia" w:ascii="Arial" w:hAnsi="Arial" w:eastAsia="宋体" w:cs="Arial"/>
                <w:color w:val="000000"/>
                <w:kern w:val="0"/>
                <w:sz w:val="20"/>
                <w:szCs w:val="20"/>
                <w:lang w:val="en-US" w:eastAsia="zh-CN" w:bidi="ar"/>
              </w:rPr>
              <w:t>1.71%</w:t>
            </w:r>
          </w:p>
        </w:tc>
      </w:tr>
    </w:tbl>
    <w:p>
      <w:pPr>
        <w:ind w:firstLine="800" w:firstLineChars="250"/>
        <w:rPr>
          <w:rFonts w:hint="eastAsia" w:ascii="仿宋" w:hAnsi="仿宋" w:eastAsia="仿宋"/>
          <w:color w:val="0000FF"/>
          <w:sz w:val="32"/>
          <w:szCs w:val="32"/>
          <w:lang w:val="en-US" w:eastAsia="zh-CN"/>
        </w:rPr>
      </w:pPr>
      <w:r>
        <w:rPr>
          <w:rFonts w:hint="eastAsia" w:ascii="仿宋" w:hAnsi="仿宋" w:eastAsia="仿宋"/>
          <w:color w:val="0000FF"/>
          <w:sz w:val="32"/>
          <w:szCs w:val="32"/>
        </w:rPr>
        <w:t>排除上诉案件与发改案件存在不同步的因素，从数量看（以下分析均同）。如上图表2所示，上诉率方面，</w:t>
      </w:r>
      <w:r>
        <w:rPr>
          <w:rFonts w:hint="eastAsia" w:ascii="仿宋" w:hAnsi="仿宋" w:eastAsia="仿宋"/>
          <w:color w:val="0000FF"/>
          <w:sz w:val="32"/>
          <w:szCs w:val="32"/>
          <w:lang w:eastAsia="zh-CN"/>
        </w:rPr>
        <w:t>考核指标标准为全年</w:t>
      </w:r>
      <w:r>
        <w:rPr>
          <w:rFonts w:hint="eastAsia" w:ascii="仿宋" w:hAnsi="仿宋" w:eastAsia="仿宋"/>
          <w:color w:val="0000FF"/>
          <w:sz w:val="32"/>
          <w:szCs w:val="32"/>
          <w:lang w:val="en-US" w:eastAsia="zh-CN"/>
        </w:rPr>
        <w:t>10%以下，</w:t>
      </w:r>
      <w:r>
        <w:rPr>
          <w:rFonts w:hint="eastAsia" w:ascii="仿宋" w:hAnsi="仿宋" w:eastAsia="仿宋"/>
          <w:color w:val="0000FF"/>
          <w:sz w:val="32"/>
          <w:szCs w:val="32"/>
        </w:rPr>
        <w:t>民事、刑事案件</w:t>
      </w:r>
      <w:r>
        <w:rPr>
          <w:rFonts w:hint="eastAsia" w:ascii="仿宋" w:hAnsi="仿宋" w:eastAsia="仿宋"/>
          <w:color w:val="0000FF"/>
          <w:sz w:val="32"/>
          <w:szCs w:val="32"/>
          <w:lang w:eastAsia="zh-CN"/>
        </w:rPr>
        <w:t>、</w:t>
      </w:r>
      <w:r>
        <w:rPr>
          <w:rFonts w:hint="eastAsia" w:ascii="仿宋" w:hAnsi="仿宋" w:eastAsia="仿宋"/>
          <w:color w:val="0000FF"/>
          <w:sz w:val="32"/>
          <w:szCs w:val="32"/>
        </w:rPr>
        <w:t>行政诉讼</w:t>
      </w:r>
      <w:r>
        <w:rPr>
          <w:rFonts w:hint="eastAsia" w:ascii="仿宋" w:hAnsi="仿宋" w:eastAsia="仿宋"/>
          <w:color w:val="0000FF"/>
          <w:sz w:val="32"/>
          <w:szCs w:val="32"/>
          <w:lang w:eastAsia="zh-CN"/>
        </w:rPr>
        <w:t>均未达标</w:t>
      </w:r>
      <w:r>
        <w:rPr>
          <w:rFonts w:hint="eastAsia" w:ascii="仿宋" w:hAnsi="仿宋" w:eastAsia="仿宋"/>
          <w:color w:val="0000FF"/>
          <w:sz w:val="32"/>
          <w:szCs w:val="32"/>
        </w:rPr>
        <w:t>；发改率方面，</w:t>
      </w:r>
      <w:r>
        <w:rPr>
          <w:rFonts w:hint="eastAsia" w:ascii="仿宋" w:hAnsi="仿宋" w:eastAsia="仿宋"/>
          <w:color w:val="0000FF"/>
          <w:sz w:val="32"/>
          <w:szCs w:val="32"/>
          <w:lang w:eastAsia="zh-CN"/>
        </w:rPr>
        <w:t>考核标准为全年</w:t>
      </w:r>
      <w:r>
        <w:rPr>
          <w:rFonts w:hint="eastAsia" w:ascii="仿宋" w:hAnsi="仿宋" w:eastAsia="仿宋"/>
          <w:color w:val="0000FF"/>
          <w:sz w:val="32"/>
          <w:szCs w:val="32"/>
          <w:lang w:val="en-US" w:eastAsia="zh-CN"/>
        </w:rPr>
        <w:t>2%以下，</w:t>
      </w:r>
      <w:r>
        <w:rPr>
          <w:rFonts w:hint="eastAsia" w:ascii="仿宋" w:hAnsi="仿宋" w:eastAsia="仿宋"/>
          <w:color w:val="0000FF"/>
          <w:sz w:val="32"/>
          <w:szCs w:val="32"/>
        </w:rPr>
        <w:t>除</w:t>
      </w:r>
      <w:r>
        <w:rPr>
          <w:rFonts w:hint="eastAsia" w:ascii="仿宋" w:hAnsi="仿宋" w:eastAsia="仿宋"/>
          <w:color w:val="0000FF"/>
          <w:sz w:val="32"/>
          <w:szCs w:val="32"/>
          <w:lang w:eastAsia="zh-CN"/>
        </w:rPr>
        <w:t>民事</w:t>
      </w:r>
      <w:r>
        <w:rPr>
          <w:rFonts w:hint="eastAsia" w:ascii="仿宋" w:hAnsi="仿宋" w:eastAsia="仿宋"/>
          <w:color w:val="0000FF"/>
          <w:sz w:val="32"/>
          <w:szCs w:val="32"/>
        </w:rPr>
        <w:t>案件</w:t>
      </w:r>
      <w:r>
        <w:rPr>
          <w:rFonts w:hint="eastAsia" w:ascii="仿宋" w:hAnsi="仿宋" w:eastAsia="仿宋"/>
          <w:color w:val="0000FF"/>
          <w:sz w:val="32"/>
          <w:szCs w:val="32"/>
          <w:lang w:eastAsia="zh-CN"/>
        </w:rPr>
        <w:t>达标外</w:t>
      </w:r>
      <w:r>
        <w:rPr>
          <w:rFonts w:hint="eastAsia" w:ascii="仿宋" w:hAnsi="仿宋" w:eastAsia="仿宋"/>
          <w:color w:val="0000FF"/>
          <w:sz w:val="32"/>
          <w:szCs w:val="32"/>
        </w:rPr>
        <w:t>，</w:t>
      </w:r>
      <w:r>
        <w:rPr>
          <w:rFonts w:hint="eastAsia" w:ascii="仿宋" w:hAnsi="仿宋" w:eastAsia="仿宋"/>
          <w:color w:val="0000FF"/>
          <w:sz w:val="32"/>
          <w:szCs w:val="32"/>
          <w:lang w:eastAsia="zh-CN"/>
        </w:rPr>
        <w:t>行政</w:t>
      </w:r>
      <w:r>
        <w:rPr>
          <w:rFonts w:hint="eastAsia" w:ascii="仿宋" w:hAnsi="仿宋" w:eastAsia="仿宋"/>
          <w:color w:val="0000FF"/>
          <w:sz w:val="32"/>
          <w:szCs w:val="32"/>
        </w:rPr>
        <w:t>案件</w:t>
      </w:r>
      <w:r>
        <w:rPr>
          <w:rFonts w:hint="eastAsia" w:ascii="仿宋" w:hAnsi="仿宋" w:eastAsia="仿宋"/>
          <w:color w:val="0000FF"/>
          <w:sz w:val="32"/>
          <w:szCs w:val="32"/>
          <w:lang w:eastAsia="zh-CN"/>
        </w:rPr>
        <w:t>、</w:t>
      </w:r>
      <w:r>
        <w:rPr>
          <w:rFonts w:hint="eastAsia" w:ascii="仿宋" w:hAnsi="仿宋" w:eastAsia="仿宋"/>
          <w:color w:val="0000FF"/>
          <w:sz w:val="32"/>
          <w:szCs w:val="32"/>
        </w:rPr>
        <w:t>刑事案件</w:t>
      </w:r>
      <w:r>
        <w:rPr>
          <w:rFonts w:hint="eastAsia" w:ascii="仿宋" w:hAnsi="仿宋" w:eastAsia="仿宋"/>
          <w:color w:val="0000FF"/>
          <w:sz w:val="32"/>
          <w:szCs w:val="32"/>
          <w:lang w:eastAsia="zh-CN"/>
        </w:rPr>
        <w:t>均未达标</w:t>
      </w:r>
      <w:r>
        <w:rPr>
          <w:rFonts w:hint="eastAsia" w:ascii="仿宋" w:hAnsi="仿宋" w:eastAsia="仿宋"/>
          <w:color w:val="0000FF"/>
          <w:sz w:val="32"/>
          <w:szCs w:val="32"/>
        </w:rPr>
        <w:t>。</w:t>
      </w:r>
      <w:r>
        <w:rPr>
          <w:rFonts w:hint="eastAsia" w:ascii="仿宋" w:hAnsi="仿宋" w:eastAsia="仿宋"/>
          <w:color w:val="0000FF"/>
          <w:sz w:val="32"/>
          <w:szCs w:val="32"/>
          <w:lang w:eastAsia="zh-CN"/>
        </w:rPr>
        <w:t>生效案件发改率考核标准为全年</w:t>
      </w:r>
      <w:r>
        <w:rPr>
          <w:rFonts w:hint="eastAsia" w:ascii="仿宋" w:hAnsi="仿宋" w:eastAsia="仿宋"/>
          <w:color w:val="0000FF"/>
          <w:sz w:val="32"/>
          <w:szCs w:val="32"/>
          <w:lang w:val="en-US" w:eastAsia="zh-CN"/>
        </w:rPr>
        <w:t>0.16%，三类案件均未达标。</w:t>
      </w:r>
    </w:p>
    <w:tbl>
      <w:tblPr>
        <w:tblStyle w:val="6"/>
        <w:tblpPr w:leftFromText="180" w:rightFromText="180" w:vertAnchor="text" w:horzAnchor="page" w:tblpX="2014" w:tblpY="505"/>
        <w:tblOverlap w:val="never"/>
        <w:tblW w:w="4998" w:type="pct"/>
        <w:tblInd w:w="0" w:type="dxa"/>
        <w:tblLayout w:type="autofit"/>
        <w:tblCellMar>
          <w:top w:w="15" w:type="dxa"/>
          <w:left w:w="15" w:type="dxa"/>
          <w:bottom w:w="15" w:type="dxa"/>
          <w:right w:w="15" w:type="dxa"/>
        </w:tblCellMar>
      </w:tblPr>
      <w:tblGrid>
        <w:gridCol w:w="567"/>
        <w:gridCol w:w="1267"/>
        <w:gridCol w:w="925"/>
        <w:gridCol w:w="925"/>
        <w:gridCol w:w="760"/>
        <w:gridCol w:w="1090"/>
        <w:gridCol w:w="925"/>
        <w:gridCol w:w="925"/>
        <w:gridCol w:w="949"/>
      </w:tblGrid>
      <w:tr>
        <w:tblPrEx>
          <w:tblCellMar>
            <w:top w:w="15" w:type="dxa"/>
            <w:left w:w="15" w:type="dxa"/>
            <w:bottom w:w="15" w:type="dxa"/>
            <w:right w:w="15" w:type="dxa"/>
          </w:tblCellMar>
        </w:tblPrEx>
        <w:trPr>
          <w:trHeight w:val="9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13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val="en-US" w:eastAsia="zh-CN" w:bidi="ar"/>
              </w:rPr>
              <w:t>一审</w:t>
            </w:r>
            <w:r>
              <w:rPr>
                <w:rFonts w:hint="eastAsia" w:ascii="宋体" w:hAnsi="宋体" w:eastAsia="宋体" w:cs="宋体"/>
                <w:b/>
                <w:bCs/>
                <w:color w:val="000000"/>
                <w:kern w:val="0"/>
                <w:sz w:val="18"/>
                <w:szCs w:val="18"/>
                <w:lang w:bidi="ar"/>
              </w:rPr>
              <w:t>结案数量</w:t>
            </w:r>
          </w:p>
        </w:tc>
        <w:tc>
          <w:tcPr>
            <w:tcW w:w="10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上诉数量</w:t>
            </w:r>
          </w:p>
        </w:tc>
        <w:tc>
          <w:tcPr>
            <w:tcW w:w="12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b/>
                <w:bCs/>
                <w:sz w:val="18"/>
                <w:szCs w:val="18"/>
                <w:lang w:val="en-US" w:eastAsia="zh-CN"/>
              </w:rPr>
            </w:pPr>
            <w:r>
              <w:rPr>
                <w:rFonts w:hint="eastAsia" w:ascii="宋体" w:hAnsi="宋体" w:eastAsia="宋体" w:cs="宋体"/>
                <w:b/>
                <w:bCs/>
                <w:color w:val="000000"/>
                <w:kern w:val="0"/>
                <w:sz w:val="18"/>
                <w:szCs w:val="18"/>
                <w:lang w:val="en-US" w:eastAsia="zh-CN" w:bidi="ar"/>
              </w:rPr>
              <w:t>申诉</w:t>
            </w:r>
            <w:r>
              <w:rPr>
                <w:rFonts w:hint="eastAsia"/>
                <w:b/>
                <w:bCs/>
                <w:sz w:val="18"/>
                <w:szCs w:val="18"/>
                <w:lang w:val="en-US" w:eastAsia="zh-CN"/>
              </w:rPr>
              <w:t>数量</w:t>
            </w:r>
          </w:p>
        </w:tc>
        <w:tc>
          <w:tcPr>
            <w:tcW w:w="11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发改数量</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民间借贷纠纷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435</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民间借贷纠纷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46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民间借贷纠纷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买卖合同纠纷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9</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劳务合同纠纷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287</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机动车交通事故责任纠纷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42</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买卖合同纠纷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民间借贷纠纷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9</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机动车交通事故责任纠纷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274</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买卖合同纠纷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39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物权纠纷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机动车交通事故责任纠纷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7</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物业服务合同纠纷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273</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生命权、身体权、健康权纠纷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39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建设工程施工合同纠纷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6</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供用热力合同纠纷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211</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劳动争议</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32</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借款合同纠纷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生命权、身体权、健康权纠纷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6</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买卖合同纠纷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200</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案外人执行异议之诉</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生命权、身体权、健康权纠纷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案外人执行异议之诉</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4</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金融借款合同纠纷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178</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物业服务合同纠纷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物业服务合同纠纷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建设工程施工合同纠纷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4</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信用卡纠纷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158</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财产损害赔偿纠纷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保险纠纷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劳动争议</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2</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劳动争议</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112</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保险纠纷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承包地征收补偿费用分配纠纷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委托合同纠纷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2</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生命权、身体权、健康权纠纷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95</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承包地征收补偿费用分配纠纷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抵押权纠纷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保险纠纷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财产损害赔偿纠纷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78</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建设工程施工合同纠纷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返还原物纠纷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财产损害赔偿纠纷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追偿权纠纷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66</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不当得利纠纷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股东出资纠纷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承揽合同纠纷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教育培训合同纠纷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64</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房屋买卖合同纠纷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股权转让纠纷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抵押合同纠纷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租赁合同纠纷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50</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机动车交通事故责任纠纷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建设工程合同纠纷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案外人执行异议之诉</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49</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委托合同纠纷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民事主体间房屋拆迁补偿合同纠纷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借款合同纠纷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借款合同纠纷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44</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追偿权纠纷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所有权纠纷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劳务合同纠纷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41</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劳务合同纠纷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租赁合同纠纷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物权纠纷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建设工程施工合同纠纷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31</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租赁合同纠纷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6</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18"/>
                <w:szCs w:val="18"/>
                <w:lang w:bidi="ar"/>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18"/>
                <w:szCs w:val="18"/>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物业服务合同纠纷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540"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房屋买卖合同纠纷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26</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人身保险合同纠纷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5</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18"/>
                <w:szCs w:val="18"/>
                <w:lang w:bidi="ar"/>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18"/>
                <w:szCs w:val="18"/>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医疗损害责任纠纷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r>
        <w:tblPrEx>
          <w:tblCellMar>
            <w:top w:w="15" w:type="dxa"/>
            <w:left w:w="15" w:type="dxa"/>
            <w:bottom w:w="15" w:type="dxa"/>
            <w:right w:w="15" w:type="dxa"/>
          </w:tblCellMar>
        </w:tblPrEx>
        <w:trPr>
          <w:trHeight w:val="286" w:hRule="atLeast"/>
        </w:trPr>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建设工程合同纠纷</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26</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医疗损害责任纠纷</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eastAsia="zh-CN" w:bidi="ar"/>
              </w:rPr>
            </w:pPr>
            <w:r>
              <w:rPr>
                <w:rFonts w:hint="default" w:ascii="Arial" w:hAnsi="Arial" w:eastAsia="宋体" w:cs="Arial"/>
                <w:i w:val="0"/>
                <w:iCs w:val="0"/>
                <w:color w:val="000000"/>
                <w:kern w:val="0"/>
                <w:sz w:val="18"/>
                <w:szCs w:val="18"/>
                <w:u w:val="none"/>
                <w:lang w:val="en-US" w:eastAsia="zh-CN" w:bidi="ar"/>
              </w:rPr>
              <w:t>4</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18"/>
                <w:szCs w:val="18"/>
                <w:lang w:bidi="ar"/>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宋体" w:hAnsi="宋体" w:eastAsia="宋体" w:cs="宋体"/>
                <w:color w:val="000000"/>
                <w:kern w:val="0"/>
                <w:sz w:val="18"/>
                <w:szCs w:val="18"/>
                <w:lang w:bidi="ar"/>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color w:val="000000"/>
                <w:kern w:val="0"/>
                <w:sz w:val="18"/>
                <w:szCs w:val="18"/>
                <w:lang w:bidi="ar"/>
              </w:rPr>
            </w:pPr>
            <w:r>
              <w:rPr>
                <w:rFonts w:hint="default" w:ascii="Arial" w:hAnsi="Arial" w:eastAsia="宋体" w:cs="Arial"/>
                <w:i w:val="0"/>
                <w:iCs w:val="0"/>
                <w:color w:val="000000"/>
                <w:kern w:val="0"/>
                <w:sz w:val="18"/>
                <w:szCs w:val="18"/>
                <w:u w:val="none"/>
                <w:lang w:val="en-US" w:eastAsia="zh-CN" w:bidi="ar"/>
              </w:rPr>
              <w:t>追偿权纠纷</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宋体" w:hAnsi="宋体" w:eastAsia="宋体" w:cs="宋体"/>
                <w:color w:val="000000"/>
                <w:sz w:val="18"/>
                <w:szCs w:val="18"/>
              </w:rPr>
            </w:pPr>
            <w:r>
              <w:rPr>
                <w:rFonts w:hint="default" w:ascii="Arial" w:hAnsi="Arial" w:eastAsia="宋体" w:cs="Arial"/>
                <w:i w:val="0"/>
                <w:iCs w:val="0"/>
                <w:color w:val="000000"/>
                <w:kern w:val="0"/>
                <w:sz w:val="18"/>
                <w:szCs w:val="18"/>
                <w:u w:val="none"/>
                <w:lang w:val="en-US" w:eastAsia="zh-CN" w:bidi="ar"/>
              </w:rPr>
              <w:t>1</w:t>
            </w:r>
          </w:p>
        </w:tc>
      </w:tr>
    </w:tbl>
    <w:p>
      <w:pPr>
        <w:rPr>
          <w:rFonts w:hint="eastAsia" w:ascii="仿宋" w:hAnsi="仿宋" w:eastAsia="仿宋"/>
          <w:color w:val="auto"/>
          <w:sz w:val="32"/>
          <w:szCs w:val="32"/>
          <w:lang w:val="en-US" w:eastAsia="zh-CN"/>
        </w:rPr>
      </w:pPr>
    </w:p>
    <w:p>
      <w:pPr>
        <w:ind w:firstLine="640" w:firstLineChars="200"/>
        <w:rPr>
          <w:rFonts w:ascii="仿宋" w:hAnsi="仿宋" w:eastAsia="仿宋"/>
          <w:color w:val="auto"/>
          <w:sz w:val="32"/>
          <w:szCs w:val="32"/>
        </w:rPr>
      </w:pPr>
      <w:r>
        <w:rPr>
          <w:rFonts w:hint="eastAsia" w:ascii="仿宋" w:hAnsi="仿宋" w:eastAsia="仿宋"/>
          <w:color w:val="auto"/>
          <w:sz w:val="32"/>
          <w:szCs w:val="32"/>
        </w:rPr>
        <w:t>民事案件，结合</w:t>
      </w:r>
      <w:r>
        <w:rPr>
          <w:rFonts w:hint="eastAsia" w:ascii="仿宋" w:hAnsi="仿宋" w:eastAsia="仿宋"/>
          <w:color w:val="auto"/>
          <w:sz w:val="32"/>
          <w:szCs w:val="32"/>
          <w:lang w:val="en-US" w:eastAsia="zh-CN"/>
        </w:rPr>
        <w:t>一审</w:t>
      </w:r>
      <w:r>
        <w:rPr>
          <w:rFonts w:hint="eastAsia" w:ascii="仿宋" w:hAnsi="仿宋" w:eastAsia="仿宋"/>
          <w:color w:val="auto"/>
          <w:sz w:val="32"/>
          <w:szCs w:val="32"/>
        </w:rPr>
        <w:t>结案案由前十位、上诉案由前十位、发改案由前十位，总体来看，相对比较分散。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如图表3所示：民事案由中，</w:t>
      </w:r>
      <w:r>
        <w:rPr>
          <w:rFonts w:hint="eastAsia" w:ascii="仿宋" w:hAnsi="仿宋" w:eastAsia="仿宋"/>
          <w:color w:val="auto"/>
          <w:sz w:val="32"/>
          <w:szCs w:val="32"/>
          <w:lang w:eastAsia="zh-CN"/>
        </w:rPr>
        <w:t>上诉案件超过</w:t>
      </w:r>
      <w:r>
        <w:rPr>
          <w:rFonts w:hint="eastAsia" w:ascii="仿宋" w:hAnsi="仿宋" w:eastAsia="仿宋"/>
          <w:color w:val="auto"/>
          <w:sz w:val="32"/>
          <w:szCs w:val="32"/>
          <w:lang w:val="en-US" w:eastAsia="zh-CN"/>
        </w:rPr>
        <w:t>10件的案由有9个，</w:t>
      </w:r>
      <w:r>
        <w:rPr>
          <w:rFonts w:hint="eastAsia" w:ascii="仿宋" w:hAnsi="仿宋" w:eastAsia="仿宋"/>
          <w:color w:val="auto"/>
          <w:sz w:val="32"/>
          <w:szCs w:val="32"/>
        </w:rPr>
        <w:t>被发改案件超两件的案由有</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个，涉及案由与上诉案由前十位基本吻合，均在结案案由前二十位。值得注意的是，买卖合同</w:t>
      </w:r>
      <w:r>
        <w:rPr>
          <w:rFonts w:hint="eastAsia" w:ascii="仿宋" w:hAnsi="仿宋" w:eastAsia="仿宋"/>
          <w:color w:val="auto"/>
          <w:sz w:val="32"/>
          <w:szCs w:val="32"/>
          <w:lang w:eastAsia="zh-CN"/>
        </w:rPr>
        <w:t>纠纷</w:t>
      </w:r>
      <w:r>
        <w:rPr>
          <w:rFonts w:hint="eastAsia" w:ascii="仿宋" w:hAnsi="仿宋" w:eastAsia="仿宋"/>
          <w:color w:val="auto"/>
          <w:sz w:val="32"/>
          <w:szCs w:val="32"/>
        </w:rPr>
        <w:t>、</w:t>
      </w:r>
      <w:r>
        <w:rPr>
          <w:rFonts w:hint="eastAsia" w:ascii="仿宋" w:hAnsi="仿宋" w:eastAsia="仿宋"/>
          <w:color w:val="auto"/>
          <w:sz w:val="32"/>
          <w:szCs w:val="32"/>
          <w:lang w:eastAsia="zh-CN"/>
        </w:rPr>
        <w:t>民间借贷纠纷</w:t>
      </w:r>
      <w:r>
        <w:rPr>
          <w:rFonts w:hint="eastAsia" w:ascii="仿宋" w:hAnsi="仿宋" w:eastAsia="仿宋"/>
          <w:color w:val="auto"/>
          <w:sz w:val="32"/>
          <w:szCs w:val="32"/>
        </w:rPr>
        <w:t>、机动车交通事故责任纠纷</w:t>
      </w:r>
      <w:r>
        <w:rPr>
          <w:rFonts w:hint="eastAsia" w:ascii="仿宋" w:hAnsi="仿宋" w:eastAsia="仿宋"/>
          <w:color w:val="auto"/>
          <w:sz w:val="32"/>
          <w:szCs w:val="32"/>
          <w:lang w:eastAsia="zh-CN"/>
        </w:rPr>
        <w:t>、生命权、身体权、健康权纠纷，其他合同纠纷五</w:t>
      </w:r>
      <w:r>
        <w:rPr>
          <w:rFonts w:hint="eastAsia" w:ascii="仿宋" w:hAnsi="仿宋" w:eastAsia="仿宋"/>
          <w:color w:val="auto"/>
          <w:sz w:val="32"/>
          <w:szCs w:val="32"/>
        </w:rPr>
        <w:t>类案件被发</w:t>
      </w:r>
      <w:r>
        <w:rPr>
          <w:rFonts w:hint="eastAsia" w:ascii="仿宋" w:hAnsi="仿宋" w:eastAsia="仿宋"/>
          <w:color w:val="auto"/>
          <w:sz w:val="32"/>
          <w:szCs w:val="32"/>
          <w:lang w:eastAsia="zh-CN"/>
        </w:rPr>
        <w:t>改</w:t>
      </w:r>
      <w:r>
        <w:rPr>
          <w:rFonts w:hint="eastAsia" w:ascii="仿宋" w:hAnsi="仿宋" w:eastAsia="仿宋"/>
          <w:color w:val="auto"/>
          <w:sz w:val="32"/>
          <w:szCs w:val="32"/>
        </w:rPr>
        <w:t>数超5件，占总发改案件的</w:t>
      </w:r>
      <w:r>
        <w:rPr>
          <w:rFonts w:hint="eastAsia" w:ascii="仿宋" w:hAnsi="仿宋" w:eastAsia="仿宋"/>
          <w:color w:val="auto"/>
          <w:sz w:val="32"/>
          <w:szCs w:val="32"/>
          <w:lang w:val="en-US" w:eastAsia="zh-CN"/>
        </w:rPr>
        <w:t>54.55</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买卖合同</w:t>
      </w:r>
      <w:r>
        <w:rPr>
          <w:rFonts w:hint="eastAsia" w:ascii="仿宋" w:hAnsi="仿宋" w:eastAsia="仿宋"/>
          <w:color w:val="auto"/>
          <w:sz w:val="32"/>
          <w:szCs w:val="32"/>
          <w:lang w:eastAsia="zh-CN"/>
        </w:rPr>
        <w:t>纠纷</w:t>
      </w:r>
      <w:r>
        <w:rPr>
          <w:rFonts w:hint="eastAsia" w:ascii="仿宋" w:hAnsi="仿宋" w:eastAsia="仿宋"/>
          <w:color w:val="auto"/>
          <w:sz w:val="32"/>
          <w:szCs w:val="32"/>
        </w:rPr>
        <w:t>、</w:t>
      </w:r>
      <w:r>
        <w:rPr>
          <w:rFonts w:hint="eastAsia" w:ascii="仿宋" w:hAnsi="仿宋" w:eastAsia="仿宋"/>
          <w:color w:val="auto"/>
          <w:sz w:val="32"/>
          <w:szCs w:val="32"/>
          <w:lang w:eastAsia="zh-CN"/>
        </w:rPr>
        <w:t>民间借贷纠纷</w:t>
      </w:r>
      <w:r>
        <w:rPr>
          <w:rFonts w:hint="eastAsia" w:ascii="仿宋" w:hAnsi="仿宋" w:eastAsia="仿宋"/>
          <w:color w:val="auto"/>
          <w:sz w:val="32"/>
          <w:szCs w:val="32"/>
        </w:rPr>
        <w:t>、机动车交通事故责任纠纷</w:t>
      </w:r>
      <w:r>
        <w:rPr>
          <w:rFonts w:hint="eastAsia" w:ascii="仿宋" w:hAnsi="仿宋" w:eastAsia="仿宋"/>
          <w:color w:val="auto"/>
          <w:sz w:val="32"/>
          <w:szCs w:val="32"/>
          <w:lang w:eastAsia="zh-CN"/>
        </w:rPr>
        <w:t>，生命权、身体权、健康权纠纷这几</w:t>
      </w:r>
      <w:r>
        <w:rPr>
          <w:rFonts w:hint="eastAsia" w:ascii="仿宋" w:hAnsi="仿宋" w:eastAsia="仿宋"/>
          <w:color w:val="auto"/>
          <w:sz w:val="32"/>
          <w:szCs w:val="32"/>
        </w:rPr>
        <w:t>类案件的上诉率、发改率相较其他案由</w:t>
      </w:r>
      <w:r>
        <w:rPr>
          <w:rFonts w:hint="eastAsia" w:ascii="仿宋" w:hAnsi="仿宋" w:eastAsia="仿宋"/>
          <w:color w:val="auto"/>
          <w:sz w:val="32"/>
          <w:szCs w:val="32"/>
          <w:lang w:eastAsia="zh-CN"/>
        </w:rPr>
        <w:t>均</w:t>
      </w:r>
      <w:r>
        <w:rPr>
          <w:rFonts w:hint="eastAsia" w:ascii="仿宋" w:hAnsi="仿宋" w:eastAsia="仿宋"/>
          <w:color w:val="auto"/>
          <w:sz w:val="32"/>
          <w:szCs w:val="32"/>
        </w:rPr>
        <w:t>偏高，应注意一下。</w:t>
      </w:r>
    </w:p>
    <w:tbl>
      <w:tblPr>
        <w:tblStyle w:val="6"/>
        <w:tblW w:w="4998" w:type="pct"/>
        <w:tblInd w:w="0" w:type="dxa"/>
        <w:tblLayout w:type="fixed"/>
        <w:tblCellMar>
          <w:top w:w="15" w:type="dxa"/>
          <w:left w:w="15" w:type="dxa"/>
          <w:bottom w:w="15" w:type="dxa"/>
          <w:right w:w="15" w:type="dxa"/>
        </w:tblCellMar>
      </w:tblPr>
      <w:tblGrid>
        <w:gridCol w:w="925"/>
        <w:gridCol w:w="1079"/>
        <w:gridCol w:w="771"/>
        <w:gridCol w:w="1191"/>
        <w:gridCol w:w="659"/>
        <w:gridCol w:w="1441"/>
        <w:gridCol w:w="409"/>
        <w:gridCol w:w="1391"/>
        <w:gridCol w:w="467"/>
      </w:tblGrid>
      <w:tr>
        <w:tblPrEx>
          <w:tblCellMar>
            <w:top w:w="15" w:type="dxa"/>
            <w:left w:w="15" w:type="dxa"/>
            <w:bottom w:w="15" w:type="dxa"/>
            <w:right w:w="15" w:type="dxa"/>
          </w:tblCellMar>
        </w:tblPrEx>
        <w:trPr>
          <w:trHeight w:val="286" w:hRule="atLeast"/>
        </w:trPr>
        <w:tc>
          <w:tcPr>
            <w:tcW w:w="5000" w:type="pct"/>
            <w:gridSpan w:val="9"/>
            <w:tcBorders>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4、案件数量排名前十位刑事案由</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11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结案数量</w:t>
            </w:r>
          </w:p>
        </w:tc>
        <w:tc>
          <w:tcPr>
            <w:tcW w:w="11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上诉数量</w:t>
            </w:r>
          </w:p>
        </w:tc>
        <w:tc>
          <w:tcPr>
            <w:tcW w:w="11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申诉数量</w:t>
            </w:r>
          </w:p>
        </w:tc>
        <w:tc>
          <w:tcPr>
            <w:tcW w:w="11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发改数量</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危险驾驶罪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145</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开设赌场罪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13</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敲诈勒索罪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4</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非法吸收公众存款罪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4</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盗窃罪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35</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非法吸收公众存款罪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6</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受贿罪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2</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合同诈骗罪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w:t>
            </w:r>
          </w:p>
        </w:tc>
      </w:tr>
      <w:tr>
        <w:tblPrEx>
          <w:tblCellMar>
            <w:top w:w="15" w:type="dxa"/>
            <w:left w:w="15" w:type="dxa"/>
            <w:bottom w:w="15" w:type="dxa"/>
            <w:right w:w="15" w:type="dxa"/>
          </w:tblCellMar>
        </w:tblPrEx>
        <w:trPr>
          <w:trHeight w:val="540"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开设赌场罪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29</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生产、销售有毒、有害食品罪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5</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寻衅滋事罪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2</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开设赌场罪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诈骗罪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23</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诈骗罪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5</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过失致人死亡罪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诈骗罪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寻衅滋事罪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22</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盗窃罪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4</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抢劫罪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妨害公务罪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生产、销售有毒、有害食品罪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19</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危险驾驶罪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3</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生产、销售有毒、有害食品罪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非国家工作人员受贿罪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r>
      <w:tr>
        <w:tblPrEx>
          <w:tblCellMar>
            <w:top w:w="15" w:type="dxa"/>
            <w:left w:w="15" w:type="dxa"/>
            <w:bottom w:w="15" w:type="dxa"/>
            <w:right w:w="15" w:type="dxa"/>
          </w:tblCellMar>
        </w:tblPrEx>
        <w:trPr>
          <w:trHeight w:val="540"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交通肇事罪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14</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妨害公务罪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信用卡诈骗罪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color w:val="000000"/>
                <w:kern w:val="0"/>
                <w:sz w:val="22"/>
                <w:lang w:bidi="ar"/>
              </w:rPr>
            </w:pPr>
            <w:r>
              <w:rPr>
                <w:rFonts w:hint="default" w:ascii="Arial" w:hAnsi="Arial" w:eastAsia="宋体" w:cs="Arial"/>
                <w:i w:val="0"/>
                <w:iCs w:val="0"/>
                <w:color w:val="000000"/>
                <w:kern w:val="0"/>
                <w:sz w:val="20"/>
                <w:szCs w:val="20"/>
                <w:u w:val="none"/>
                <w:lang w:val="en-US" w:eastAsia="zh-CN" w:bidi="ar"/>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抢劫罪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r>
      <w:tr>
        <w:tblPrEx>
          <w:tblCellMar>
            <w:top w:w="15" w:type="dxa"/>
            <w:left w:w="15" w:type="dxa"/>
            <w:bottom w:w="15" w:type="dxa"/>
            <w:right w:w="15" w:type="dxa"/>
          </w:tblCellMar>
        </w:tblPrEx>
        <w:trPr>
          <w:trHeight w:val="810"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非法吸收公众存款罪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13</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故意伤害罪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虚假诉讼罪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信用卡诈骗罪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故意伤害罪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13</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合同诈骗罪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掩饰、隐瞒犯罪所得、犯罪所得收益罪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引诱、容留、介绍卖淫罪</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r>
      <w:tr>
        <w:tblPrEx>
          <w:tblCellMar>
            <w:top w:w="15" w:type="dxa"/>
            <w:left w:w="15" w:type="dxa"/>
            <w:bottom w:w="15" w:type="dxa"/>
            <w:right w:w="15" w:type="dxa"/>
          </w:tblCellMar>
        </w:tblPrEx>
        <w:trPr>
          <w:trHeight w:val="286" w:hRule="atLeast"/>
        </w:trPr>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帮助信息网络犯罪活动罪</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7</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强奸罪</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2</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引诱、容留、介绍卖淫罪</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1</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bl>
    <w:p>
      <w:pPr>
        <w:ind w:firstLine="640" w:firstLineChars="200"/>
        <w:rPr>
          <w:rFonts w:ascii="仿宋" w:hAnsi="仿宋" w:eastAsia="仿宋"/>
          <w:color w:val="auto"/>
          <w:sz w:val="32"/>
          <w:szCs w:val="32"/>
        </w:rPr>
      </w:pPr>
      <w:r>
        <w:rPr>
          <w:rFonts w:hint="eastAsia" w:ascii="仿宋" w:hAnsi="仿宋" w:eastAsia="仿宋"/>
          <w:color w:val="auto"/>
          <w:sz w:val="32"/>
          <w:szCs w:val="32"/>
        </w:rPr>
        <w:t>如图表4所示：刑事案由比较集中，</w:t>
      </w:r>
      <w:r>
        <w:rPr>
          <w:rFonts w:hint="eastAsia" w:ascii="仿宋" w:hAnsi="仿宋" w:eastAsia="仿宋"/>
          <w:color w:val="auto"/>
          <w:sz w:val="32"/>
          <w:szCs w:val="32"/>
          <w:lang w:eastAsia="zh-CN"/>
        </w:rPr>
        <w:t>上诉数量前三位的案由是开设赌场罪、非法吸收公共存款罪、诈骗罪，发改数量前三位的也是前述三类案件</w:t>
      </w:r>
      <w:r>
        <w:rPr>
          <w:rFonts w:hint="eastAsia" w:ascii="仿宋" w:hAnsi="仿宋" w:eastAsia="仿宋"/>
          <w:color w:val="auto"/>
          <w:sz w:val="32"/>
          <w:szCs w:val="32"/>
        </w:rPr>
        <w:t>，对</w:t>
      </w:r>
      <w:r>
        <w:rPr>
          <w:rFonts w:hint="eastAsia" w:ascii="仿宋" w:hAnsi="仿宋" w:eastAsia="仿宋"/>
          <w:color w:val="auto"/>
          <w:sz w:val="32"/>
          <w:szCs w:val="32"/>
          <w:lang w:eastAsia="zh-CN"/>
        </w:rPr>
        <w:t>这三</w:t>
      </w:r>
      <w:r>
        <w:rPr>
          <w:rFonts w:hint="eastAsia" w:ascii="仿宋" w:hAnsi="仿宋" w:eastAsia="仿宋"/>
          <w:color w:val="auto"/>
          <w:sz w:val="32"/>
          <w:szCs w:val="32"/>
        </w:rPr>
        <w:t>类案件，应注意一下。</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因行政</w:t>
      </w:r>
      <w:r>
        <w:rPr>
          <w:rFonts w:hint="eastAsia" w:ascii="仿宋" w:hAnsi="仿宋" w:eastAsia="仿宋"/>
          <w:sz w:val="32"/>
          <w:szCs w:val="32"/>
        </w:rPr>
        <w:t>案件样本较小不具有代表性，暂不做分析。</w:t>
      </w:r>
    </w:p>
    <w:p>
      <w:pPr>
        <w:ind w:firstLine="803" w:firstLineChars="250"/>
        <w:rPr>
          <w:rFonts w:hint="eastAsia" w:ascii="仿宋" w:hAnsi="仿宋" w:eastAsia="仿宋"/>
          <w:b/>
          <w:bCs/>
          <w:sz w:val="32"/>
          <w:szCs w:val="32"/>
          <w:lang w:val="en-US" w:eastAsia="zh-CN"/>
        </w:rPr>
      </w:pPr>
    </w:p>
    <w:p>
      <w:pPr>
        <w:ind w:firstLine="803" w:firstLineChars="250"/>
        <w:rPr>
          <w:rFonts w:hint="eastAsia" w:ascii="仿宋" w:hAnsi="仿宋" w:eastAsia="仿宋"/>
          <w:sz w:val="32"/>
          <w:szCs w:val="32"/>
          <w:lang w:val="en-US" w:eastAsia="zh-CN"/>
        </w:rPr>
      </w:pPr>
      <w:r>
        <w:rPr>
          <w:rFonts w:hint="eastAsia" w:ascii="仿宋" w:hAnsi="仿宋" w:eastAsia="仿宋"/>
          <w:b/>
          <w:bCs/>
          <w:sz w:val="32"/>
          <w:szCs w:val="32"/>
          <w:lang w:val="en-US" w:eastAsia="zh-CN"/>
        </w:rPr>
        <w:t>民事上诉案件案由分布</w:t>
      </w:r>
    </w:p>
    <w:p>
      <w:pPr>
        <w:ind w:firstLine="800" w:firstLineChars="250"/>
        <w:rPr>
          <w:rFonts w:hint="default"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5080000" cy="5899150"/>
            <wp:effectExtent l="4445" t="4445" r="20955" b="2095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ind w:firstLine="803" w:firstLineChars="25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民事申诉案件案由分布</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drawing>
          <wp:inline distT="0" distB="0" distL="114300" distR="114300">
            <wp:extent cx="5796915" cy="6097270"/>
            <wp:effectExtent l="4445" t="4445" r="8890" b="1333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ind w:firstLine="803" w:firstLineChars="25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民事发改案件案由分布</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drawing>
          <wp:inline distT="0" distB="0" distL="114300" distR="114300">
            <wp:extent cx="5629275" cy="6158230"/>
            <wp:effectExtent l="4445" t="4445" r="508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800" w:firstLineChars="250"/>
        <w:rPr>
          <w:rFonts w:hint="eastAsia" w:ascii="仿宋" w:hAnsi="仿宋" w:eastAsia="仿宋"/>
          <w:sz w:val="32"/>
          <w:szCs w:val="32"/>
          <w:lang w:val="en-US" w:eastAsia="zh-CN"/>
        </w:rPr>
      </w:pPr>
    </w:p>
    <w:p>
      <w:pPr>
        <w:ind w:firstLine="800" w:firstLineChars="250"/>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ind w:firstLine="803" w:firstLineChars="25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刑事上诉案件案由分布</w:t>
      </w:r>
    </w:p>
    <w:p>
      <w:pPr>
        <w:rPr>
          <w:rFonts w:hint="eastAsia" w:ascii="仿宋" w:hAnsi="仿宋" w:eastAsia="仿宋"/>
          <w:b/>
          <w:bCs/>
          <w:sz w:val="32"/>
          <w:szCs w:val="32"/>
          <w:lang w:val="en-US" w:eastAsia="zh-CN"/>
        </w:rPr>
      </w:pPr>
      <w:r>
        <w:rPr>
          <w:rFonts w:hint="eastAsia" w:ascii="仿宋" w:hAnsi="仿宋" w:eastAsia="仿宋"/>
          <w:sz w:val="32"/>
          <w:szCs w:val="32"/>
          <w:lang w:val="en-US" w:eastAsia="zh-CN"/>
        </w:rPr>
        <w:drawing>
          <wp:inline distT="0" distB="0" distL="114300" distR="114300">
            <wp:extent cx="5245735" cy="3839845"/>
            <wp:effectExtent l="5080" t="4445" r="6985" b="2286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刑事申诉案件案由分布</w:t>
      </w:r>
    </w:p>
    <w:p>
      <w:pPr>
        <w:bidi w:val="0"/>
        <w:jc w:val="center"/>
        <w:rPr>
          <w:rFonts w:hint="eastAsia"/>
          <w:lang w:val="en-US" w:eastAsia="zh-CN"/>
        </w:rPr>
      </w:pPr>
    </w:p>
    <w:p>
      <w:pPr>
        <w:rPr>
          <w:rFonts w:hint="eastAsia" w:ascii="仿宋" w:hAnsi="仿宋" w:eastAsia="仿宋"/>
          <w:sz w:val="32"/>
          <w:szCs w:val="32"/>
          <w:lang w:val="en-US" w:eastAsia="zh-CN"/>
        </w:rPr>
      </w:pPr>
      <w:r>
        <w:rPr>
          <w:rFonts w:hint="eastAsia" w:ascii="仿宋" w:hAnsi="仿宋" w:eastAsia="仿宋"/>
          <w:sz w:val="32"/>
          <w:szCs w:val="32"/>
          <w:lang w:val="en-US" w:eastAsia="zh-CN"/>
        </w:rPr>
        <w:drawing>
          <wp:inline distT="0" distB="0" distL="114300" distR="114300">
            <wp:extent cx="5080000" cy="3810000"/>
            <wp:effectExtent l="4445" t="4445" r="20955" b="1460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803" w:firstLineChars="25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刑事发改案件案由分布</w:t>
      </w:r>
    </w:p>
    <w:p>
      <w:pPr>
        <w:rPr>
          <w:rFonts w:hint="default" w:ascii="仿宋" w:hAnsi="仿宋" w:eastAsia="仿宋"/>
          <w:sz w:val="32"/>
          <w:szCs w:val="32"/>
          <w:lang w:val="en-US" w:eastAsia="zh-CN"/>
        </w:rPr>
      </w:pPr>
      <w:bookmarkStart w:id="0" w:name="_GoBack"/>
      <w:r>
        <w:rPr>
          <w:rFonts w:hint="default" w:ascii="仿宋" w:hAnsi="仿宋" w:eastAsia="仿宋"/>
          <w:sz w:val="32"/>
          <w:szCs w:val="32"/>
          <w:lang w:val="en-US" w:eastAsia="zh-CN"/>
        </w:rPr>
        <w:drawing>
          <wp:inline distT="0" distB="0" distL="114300" distR="114300">
            <wp:extent cx="5080000" cy="3810000"/>
            <wp:effectExtent l="4445" t="4445" r="20955" b="1460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pPr>
        <w:ind w:firstLine="640" w:firstLineChars="200"/>
        <w:rPr>
          <w:rFonts w:hint="eastAsia" w:ascii="黑体" w:hAnsi="黑体" w:eastAsia="黑体" w:cs="黑体"/>
          <w:sz w:val="32"/>
          <w:szCs w:val="32"/>
        </w:rPr>
      </w:pPr>
    </w:p>
    <w:p>
      <w:pPr>
        <w:ind w:firstLine="640" w:firstLineChars="200"/>
        <w:rPr>
          <w:rFonts w:ascii="黑体" w:hAnsi="黑体" w:eastAsia="黑体" w:cs="黑体"/>
          <w:color w:val="0000FF"/>
          <w:sz w:val="32"/>
          <w:szCs w:val="32"/>
        </w:rPr>
      </w:pPr>
      <w:r>
        <w:rPr>
          <w:rFonts w:hint="eastAsia" w:ascii="黑体" w:hAnsi="黑体" w:eastAsia="黑体" w:cs="黑体"/>
          <w:color w:val="0000FF"/>
          <w:sz w:val="32"/>
          <w:szCs w:val="32"/>
        </w:rPr>
        <w:t>二、存在的问题</w:t>
      </w:r>
    </w:p>
    <w:p>
      <w:pPr>
        <w:ind w:firstLine="640" w:firstLineChars="200"/>
        <w:rPr>
          <w:rFonts w:ascii="仿宋" w:hAnsi="仿宋" w:eastAsia="仿宋" w:cs="仿宋"/>
          <w:color w:val="0000FF"/>
          <w:sz w:val="32"/>
          <w:szCs w:val="32"/>
        </w:rPr>
      </w:pPr>
      <w:r>
        <w:rPr>
          <w:rFonts w:hint="eastAsia" w:ascii="仿宋" w:hAnsi="仿宋" w:eastAsia="仿宋" w:cs="仿宋"/>
          <w:color w:val="0000FF"/>
          <w:sz w:val="32"/>
          <w:szCs w:val="32"/>
        </w:rPr>
        <w:t>在上述分析中，先后从收案、结案、上诉移送、涉及案由、发改原因及类别等角度对</w:t>
      </w:r>
      <w:r>
        <w:rPr>
          <w:rFonts w:hint="eastAsia" w:ascii="仿宋" w:hAnsi="仿宋" w:eastAsia="仿宋" w:cs="仿宋"/>
          <w:color w:val="0000FF"/>
          <w:sz w:val="32"/>
          <w:szCs w:val="32"/>
          <w:lang w:eastAsia="zh-CN"/>
        </w:rPr>
        <w:t>2021</w:t>
      </w:r>
      <w:r>
        <w:rPr>
          <w:rFonts w:hint="eastAsia" w:ascii="仿宋" w:hAnsi="仿宋" w:eastAsia="仿宋" w:cs="仿宋"/>
          <w:color w:val="0000FF"/>
          <w:sz w:val="32"/>
          <w:szCs w:val="32"/>
        </w:rPr>
        <w:t>年度我院上诉被发改案件情况进行了阐述，现将存在的问题总结如下：</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（一）发改案件类型方面</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从发改率来看，除</w:t>
      </w:r>
      <w:r>
        <w:rPr>
          <w:rFonts w:hint="eastAsia" w:ascii="仿宋" w:hAnsi="仿宋" w:eastAsia="仿宋"/>
          <w:color w:val="0000FF"/>
          <w:sz w:val="32"/>
          <w:szCs w:val="32"/>
          <w:lang w:eastAsia="zh-CN"/>
        </w:rPr>
        <w:t>民事</w:t>
      </w:r>
      <w:r>
        <w:rPr>
          <w:rFonts w:hint="eastAsia" w:ascii="仿宋" w:hAnsi="仿宋" w:eastAsia="仿宋"/>
          <w:color w:val="0000FF"/>
          <w:sz w:val="32"/>
          <w:szCs w:val="32"/>
        </w:rPr>
        <w:t>案件</w:t>
      </w:r>
      <w:r>
        <w:rPr>
          <w:rFonts w:hint="eastAsia" w:ascii="仿宋" w:hAnsi="仿宋" w:eastAsia="仿宋"/>
          <w:color w:val="0000FF"/>
          <w:sz w:val="32"/>
          <w:szCs w:val="32"/>
          <w:lang w:val="en-US" w:eastAsia="zh-CN"/>
        </w:rPr>
        <w:t>1.83</w:t>
      </w:r>
      <w:r>
        <w:rPr>
          <w:rFonts w:hint="eastAsia" w:ascii="仿宋" w:hAnsi="仿宋" w:eastAsia="仿宋"/>
          <w:color w:val="0000FF"/>
          <w:sz w:val="32"/>
          <w:szCs w:val="32"/>
        </w:rPr>
        <w:t>%</w:t>
      </w:r>
      <w:r>
        <w:rPr>
          <w:rFonts w:hint="eastAsia" w:ascii="仿宋" w:hAnsi="仿宋" w:eastAsia="仿宋"/>
          <w:color w:val="0000FF"/>
          <w:sz w:val="32"/>
          <w:szCs w:val="32"/>
          <w:lang w:eastAsia="zh-CN"/>
        </w:rPr>
        <w:t>达标外</w:t>
      </w:r>
      <w:r>
        <w:rPr>
          <w:rFonts w:hint="eastAsia" w:ascii="仿宋" w:hAnsi="仿宋" w:eastAsia="仿宋"/>
          <w:color w:val="0000FF"/>
          <w:sz w:val="32"/>
          <w:szCs w:val="32"/>
        </w:rPr>
        <w:t>，</w:t>
      </w:r>
      <w:r>
        <w:rPr>
          <w:rFonts w:hint="eastAsia" w:ascii="仿宋" w:hAnsi="仿宋" w:eastAsia="仿宋"/>
          <w:color w:val="0000FF"/>
          <w:sz w:val="32"/>
          <w:szCs w:val="32"/>
          <w:lang w:eastAsia="zh-CN"/>
        </w:rPr>
        <w:t>刑事</w:t>
      </w:r>
      <w:r>
        <w:rPr>
          <w:rFonts w:hint="eastAsia" w:ascii="仿宋" w:hAnsi="仿宋" w:eastAsia="仿宋"/>
          <w:color w:val="0000FF"/>
          <w:sz w:val="32"/>
          <w:szCs w:val="32"/>
        </w:rPr>
        <w:t>案件</w:t>
      </w:r>
      <w:r>
        <w:rPr>
          <w:rFonts w:hint="eastAsia" w:ascii="仿宋" w:hAnsi="仿宋" w:eastAsia="仿宋"/>
          <w:color w:val="0000FF"/>
          <w:sz w:val="32"/>
          <w:szCs w:val="32"/>
          <w:lang w:eastAsia="zh-CN"/>
        </w:rPr>
        <w:t>、</w:t>
      </w:r>
      <w:r>
        <w:rPr>
          <w:rFonts w:hint="eastAsia" w:ascii="仿宋" w:hAnsi="仿宋" w:eastAsia="仿宋"/>
          <w:color w:val="0000FF"/>
          <w:sz w:val="32"/>
          <w:szCs w:val="32"/>
        </w:rPr>
        <w:t>刑事案件</w:t>
      </w:r>
      <w:r>
        <w:rPr>
          <w:rFonts w:hint="eastAsia" w:ascii="仿宋" w:hAnsi="仿宋" w:eastAsia="仿宋"/>
          <w:color w:val="0000FF"/>
          <w:sz w:val="32"/>
          <w:szCs w:val="32"/>
          <w:lang w:eastAsia="zh-CN"/>
        </w:rPr>
        <w:t>超过达标值</w:t>
      </w:r>
      <w:r>
        <w:rPr>
          <w:rFonts w:hint="eastAsia" w:ascii="仿宋" w:hAnsi="仿宋" w:eastAsia="仿宋"/>
          <w:color w:val="0000FF"/>
          <w:sz w:val="32"/>
          <w:szCs w:val="32"/>
          <w:lang w:val="en-US" w:eastAsia="zh-CN"/>
        </w:rPr>
        <w:t>2%</w:t>
      </w:r>
      <w:r>
        <w:rPr>
          <w:rFonts w:hint="eastAsia" w:ascii="仿宋" w:hAnsi="仿宋" w:eastAsia="仿宋"/>
          <w:color w:val="0000FF"/>
          <w:sz w:val="32"/>
          <w:szCs w:val="32"/>
          <w:lang w:eastAsia="zh-CN"/>
        </w:rPr>
        <w:t>。二审发改率、上诉率和申诉率均按民事、刑事、行政案件类型递增</w:t>
      </w:r>
      <w:r>
        <w:rPr>
          <w:rFonts w:hint="eastAsia" w:ascii="仿宋" w:hAnsi="仿宋" w:eastAsia="仿宋"/>
          <w:color w:val="0000FF"/>
          <w:sz w:val="32"/>
          <w:szCs w:val="32"/>
        </w:rPr>
        <w:t>。</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（二）发改案件涉及案由方面</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一是买卖合同</w:t>
      </w:r>
      <w:r>
        <w:rPr>
          <w:rFonts w:hint="eastAsia" w:ascii="仿宋" w:hAnsi="仿宋" w:eastAsia="仿宋"/>
          <w:color w:val="0000FF"/>
          <w:sz w:val="32"/>
          <w:szCs w:val="32"/>
          <w:lang w:eastAsia="zh-CN"/>
        </w:rPr>
        <w:t>纠纷</w:t>
      </w:r>
      <w:r>
        <w:rPr>
          <w:rFonts w:hint="eastAsia" w:ascii="仿宋" w:hAnsi="仿宋" w:eastAsia="仿宋"/>
          <w:color w:val="0000FF"/>
          <w:sz w:val="32"/>
          <w:szCs w:val="32"/>
        </w:rPr>
        <w:t>、</w:t>
      </w:r>
      <w:r>
        <w:rPr>
          <w:rFonts w:hint="eastAsia" w:ascii="仿宋" w:hAnsi="仿宋" w:eastAsia="仿宋"/>
          <w:color w:val="0000FF"/>
          <w:sz w:val="32"/>
          <w:szCs w:val="32"/>
          <w:lang w:eastAsia="zh-CN"/>
        </w:rPr>
        <w:t>民间借贷纠纷</w:t>
      </w:r>
      <w:r>
        <w:rPr>
          <w:rFonts w:hint="eastAsia" w:ascii="仿宋" w:hAnsi="仿宋" w:eastAsia="仿宋"/>
          <w:color w:val="0000FF"/>
          <w:sz w:val="32"/>
          <w:szCs w:val="32"/>
        </w:rPr>
        <w:t>、机动车交通事故责任纠纷</w:t>
      </w:r>
      <w:r>
        <w:rPr>
          <w:rFonts w:hint="eastAsia" w:ascii="仿宋" w:hAnsi="仿宋" w:eastAsia="仿宋"/>
          <w:color w:val="0000FF"/>
          <w:sz w:val="32"/>
          <w:szCs w:val="32"/>
          <w:lang w:eastAsia="zh-CN"/>
        </w:rPr>
        <w:t>、生命权、身体权、健康权纠纷，其他合同纠纷五</w:t>
      </w:r>
      <w:r>
        <w:rPr>
          <w:rFonts w:hint="eastAsia" w:ascii="仿宋" w:hAnsi="仿宋" w:eastAsia="仿宋"/>
          <w:color w:val="0000FF"/>
          <w:sz w:val="32"/>
          <w:szCs w:val="32"/>
        </w:rPr>
        <w:t>类案件被发</w:t>
      </w:r>
      <w:r>
        <w:rPr>
          <w:rFonts w:hint="eastAsia" w:ascii="仿宋" w:hAnsi="仿宋" w:eastAsia="仿宋"/>
          <w:color w:val="0000FF"/>
          <w:sz w:val="32"/>
          <w:szCs w:val="32"/>
          <w:lang w:eastAsia="zh-CN"/>
        </w:rPr>
        <w:t>改</w:t>
      </w:r>
      <w:r>
        <w:rPr>
          <w:rFonts w:hint="eastAsia" w:ascii="仿宋" w:hAnsi="仿宋" w:eastAsia="仿宋"/>
          <w:color w:val="0000FF"/>
          <w:sz w:val="32"/>
          <w:szCs w:val="32"/>
        </w:rPr>
        <w:t>数超5件，占总发改案件的</w:t>
      </w:r>
      <w:r>
        <w:rPr>
          <w:rFonts w:hint="eastAsia" w:ascii="仿宋" w:hAnsi="仿宋" w:eastAsia="仿宋"/>
          <w:color w:val="0000FF"/>
          <w:sz w:val="32"/>
          <w:szCs w:val="32"/>
          <w:lang w:val="en-US" w:eastAsia="zh-CN"/>
        </w:rPr>
        <w:t>54.55</w:t>
      </w:r>
      <w:r>
        <w:rPr>
          <w:rFonts w:hint="eastAsia" w:ascii="仿宋" w:hAnsi="仿宋" w:eastAsia="仿宋"/>
          <w:color w:val="0000FF"/>
          <w:sz w:val="32"/>
          <w:szCs w:val="32"/>
        </w:rPr>
        <w:t>%</w:t>
      </w:r>
      <w:r>
        <w:rPr>
          <w:rFonts w:hint="eastAsia" w:ascii="仿宋" w:hAnsi="仿宋" w:eastAsia="仿宋"/>
          <w:color w:val="0000FF"/>
          <w:sz w:val="32"/>
          <w:szCs w:val="32"/>
          <w:lang w:eastAsia="zh-CN"/>
        </w:rPr>
        <w:t>。</w:t>
      </w:r>
      <w:r>
        <w:rPr>
          <w:rFonts w:hint="eastAsia" w:ascii="仿宋" w:hAnsi="仿宋" w:eastAsia="仿宋"/>
          <w:color w:val="0000FF"/>
          <w:sz w:val="32"/>
          <w:szCs w:val="32"/>
        </w:rPr>
        <w:t>买卖合同</w:t>
      </w:r>
      <w:r>
        <w:rPr>
          <w:rFonts w:hint="eastAsia" w:ascii="仿宋" w:hAnsi="仿宋" w:eastAsia="仿宋"/>
          <w:color w:val="0000FF"/>
          <w:sz w:val="32"/>
          <w:szCs w:val="32"/>
          <w:lang w:eastAsia="zh-CN"/>
        </w:rPr>
        <w:t>纠纷</w:t>
      </w:r>
      <w:r>
        <w:rPr>
          <w:rFonts w:hint="eastAsia" w:ascii="仿宋" w:hAnsi="仿宋" w:eastAsia="仿宋"/>
          <w:color w:val="0000FF"/>
          <w:sz w:val="32"/>
          <w:szCs w:val="32"/>
        </w:rPr>
        <w:t>、</w:t>
      </w:r>
      <w:r>
        <w:rPr>
          <w:rFonts w:hint="eastAsia" w:ascii="仿宋" w:hAnsi="仿宋" w:eastAsia="仿宋"/>
          <w:color w:val="0000FF"/>
          <w:sz w:val="32"/>
          <w:szCs w:val="32"/>
          <w:lang w:eastAsia="zh-CN"/>
        </w:rPr>
        <w:t>民间借贷纠纷</w:t>
      </w:r>
      <w:r>
        <w:rPr>
          <w:rFonts w:hint="eastAsia" w:ascii="仿宋" w:hAnsi="仿宋" w:eastAsia="仿宋"/>
          <w:color w:val="0000FF"/>
          <w:sz w:val="32"/>
          <w:szCs w:val="32"/>
        </w:rPr>
        <w:t>、机动车交通事故责任纠纷</w:t>
      </w:r>
      <w:r>
        <w:rPr>
          <w:rFonts w:hint="eastAsia" w:ascii="仿宋" w:hAnsi="仿宋" w:eastAsia="仿宋"/>
          <w:color w:val="0000FF"/>
          <w:sz w:val="32"/>
          <w:szCs w:val="32"/>
          <w:lang w:eastAsia="zh-CN"/>
        </w:rPr>
        <w:t>，生命权、身体权、健康权纠纷这几</w:t>
      </w:r>
      <w:r>
        <w:rPr>
          <w:rFonts w:hint="eastAsia" w:ascii="仿宋" w:hAnsi="仿宋" w:eastAsia="仿宋"/>
          <w:color w:val="0000FF"/>
          <w:sz w:val="32"/>
          <w:szCs w:val="32"/>
        </w:rPr>
        <w:t>类案件的上诉率、发改率相较其他案由</w:t>
      </w:r>
      <w:r>
        <w:rPr>
          <w:rFonts w:hint="eastAsia" w:ascii="仿宋" w:hAnsi="仿宋" w:eastAsia="仿宋"/>
          <w:color w:val="0000FF"/>
          <w:sz w:val="32"/>
          <w:szCs w:val="32"/>
          <w:lang w:eastAsia="zh-CN"/>
        </w:rPr>
        <w:t>均</w:t>
      </w:r>
      <w:r>
        <w:rPr>
          <w:rFonts w:hint="eastAsia" w:ascii="仿宋" w:hAnsi="仿宋" w:eastAsia="仿宋"/>
          <w:color w:val="0000FF"/>
          <w:sz w:val="32"/>
          <w:szCs w:val="32"/>
        </w:rPr>
        <w:t>偏高，应应结合发改原因，深入分析。二是刑事案由比较集中，即</w:t>
      </w:r>
      <w:r>
        <w:rPr>
          <w:rFonts w:hint="eastAsia" w:ascii="仿宋" w:hAnsi="仿宋" w:eastAsia="仿宋"/>
          <w:color w:val="0000FF"/>
          <w:sz w:val="32"/>
          <w:szCs w:val="32"/>
          <w:lang w:eastAsia="zh-CN"/>
        </w:rPr>
        <w:t>集中在开设赌场罪、非法吸收公共存款罪、诈骗罪</w:t>
      </w:r>
      <w:r>
        <w:rPr>
          <w:rFonts w:hint="eastAsia" w:ascii="仿宋" w:hAnsi="仿宋" w:eastAsia="仿宋"/>
          <w:color w:val="0000FF"/>
          <w:sz w:val="32"/>
          <w:szCs w:val="32"/>
        </w:rPr>
        <w:t>，应结合审判实际，降低此类案件发改率。</w:t>
      </w:r>
    </w:p>
    <w:p>
      <w:pPr>
        <w:ind w:firstLine="640" w:firstLineChars="200"/>
        <w:rPr>
          <w:rFonts w:ascii="仿宋" w:hAnsi="仿宋" w:eastAsia="仿宋"/>
          <w:color w:val="0000FF"/>
          <w:sz w:val="32"/>
          <w:szCs w:val="32"/>
        </w:rPr>
      </w:pPr>
      <w:r>
        <w:rPr>
          <w:rFonts w:hint="eastAsia" w:ascii="仿宋" w:hAnsi="仿宋" w:eastAsia="仿宋"/>
          <w:color w:val="0000FF"/>
          <w:sz w:val="32"/>
          <w:szCs w:val="32"/>
        </w:rPr>
        <w:t>（三）发改原因方面</w:t>
      </w:r>
    </w:p>
    <w:p>
      <w:pPr>
        <w:ind w:firstLine="640"/>
        <w:rPr>
          <w:rFonts w:ascii="仿宋" w:hAnsi="仿宋" w:eastAsia="仿宋"/>
          <w:color w:val="0000FF"/>
          <w:sz w:val="32"/>
          <w:szCs w:val="32"/>
        </w:rPr>
      </w:pPr>
      <w:r>
        <w:rPr>
          <w:rFonts w:hint="eastAsia" w:ascii="仿宋" w:hAnsi="仿宋" w:eastAsia="仿宋"/>
          <w:color w:val="0000FF"/>
          <w:sz w:val="32"/>
          <w:szCs w:val="32"/>
        </w:rPr>
        <w:t>被发改原因</w:t>
      </w:r>
      <w:r>
        <w:rPr>
          <w:rFonts w:hint="eastAsia" w:ascii="仿宋" w:hAnsi="仿宋" w:eastAsia="仿宋"/>
          <w:color w:val="0000FF"/>
          <w:sz w:val="32"/>
          <w:szCs w:val="32"/>
          <w:lang w:eastAsia="zh-CN"/>
        </w:rPr>
        <w:t>如下</w:t>
      </w:r>
      <w:r>
        <w:rPr>
          <w:rFonts w:hint="eastAsia" w:ascii="仿宋" w:hAnsi="仿宋" w:eastAsia="仿宋"/>
          <w:color w:val="0000FF"/>
          <w:sz w:val="32"/>
          <w:szCs w:val="32"/>
        </w:rPr>
        <w:t>：出现新证据等、原审程序违法、适用法律错误、认定事实不清</w:t>
      </w:r>
      <w:r>
        <w:rPr>
          <w:rFonts w:hint="eastAsia" w:ascii="仿宋" w:hAnsi="仿宋" w:eastAsia="仿宋"/>
          <w:color w:val="0000FF"/>
          <w:sz w:val="32"/>
          <w:szCs w:val="32"/>
          <w:lang w:eastAsia="zh-CN"/>
        </w:rPr>
        <w:t>、两审法院认识不同</w:t>
      </w:r>
      <w:r>
        <w:rPr>
          <w:rFonts w:hint="eastAsia" w:ascii="仿宋" w:hAnsi="仿宋" w:eastAsia="仿宋"/>
          <w:color w:val="0000FF"/>
          <w:sz w:val="32"/>
          <w:szCs w:val="32"/>
        </w:rPr>
        <w:t>。因原审程序违法被发改案件中，原因主要涉及</w:t>
      </w:r>
      <w:r>
        <w:rPr>
          <w:rFonts w:hint="eastAsia" w:ascii="仿宋" w:hAnsi="仿宋" w:eastAsia="仿宋"/>
          <w:color w:val="0000FF"/>
          <w:sz w:val="32"/>
          <w:szCs w:val="32"/>
          <w:lang w:eastAsia="zh-CN"/>
        </w:rPr>
        <w:t>送达程序违法、</w:t>
      </w:r>
      <w:r>
        <w:rPr>
          <w:rFonts w:hint="eastAsia" w:ascii="仿宋" w:hAnsi="仿宋" w:eastAsia="仿宋"/>
          <w:color w:val="0000FF"/>
          <w:sz w:val="32"/>
          <w:szCs w:val="32"/>
        </w:rPr>
        <w:t>当事人追加、程序适用</w:t>
      </w:r>
      <w:r>
        <w:rPr>
          <w:rFonts w:hint="eastAsia" w:ascii="仿宋" w:hAnsi="仿宋" w:eastAsia="仿宋"/>
          <w:color w:val="0000FF"/>
          <w:sz w:val="32"/>
          <w:szCs w:val="32"/>
          <w:lang w:eastAsia="zh-CN"/>
        </w:rPr>
        <w:t>、委托代理人身份审查</w:t>
      </w:r>
      <w:r>
        <w:rPr>
          <w:rFonts w:hint="eastAsia" w:ascii="仿宋" w:hAnsi="仿宋" w:eastAsia="仿宋"/>
          <w:color w:val="0000FF"/>
          <w:sz w:val="32"/>
          <w:szCs w:val="32"/>
        </w:rPr>
        <w:t>等方面。</w:t>
      </w:r>
    </w:p>
    <w:p>
      <w:pPr>
        <w:spacing w:line="560" w:lineRule="exact"/>
        <w:ind w:firstLine="600" w:firstLineChars="200"/>
        <w:rPr>
          <w:rStyle w:val="8"/>
          <w:rFonts w:hint="eastAsia" w:ascii="Courier New" w:hAnsi="Courier New" w:eastAsia="宋体" w:cs="Courier New"/>
          <w:i w:val="0"/>
          <w:iCs w:val="0"/>
          <w:caps w:val="0"/>
          <w:color w:val="383838"/>
          <w:spacing w:val="0"/>
          <w:sz w:val="30"/>
          <w:szCs w:val="30"/>
          <w:shd w:val="clear" w:fill="FFFFFF"/>
          <w:lang w:eastAsia="zh-CN"/>
        </w:rPr>
      </w:pPr>
      <w:r>
        <w:rPr>
          <w:rStyle w:val="8"/>
          <w:rFonts w:ascii="Courier New" w:hAnsi="Courier New" w:eastAsia="Courier New" w:cs="Courier New"/>
          <w:i w:val="0"/>
          <w:iCs w:val="0"/>
          <w:caps w:val="0"/>
          <w:color w:val="383838"/>
          <w:spacing w:val="0"/>
          <w:sz w:val="30"/>
          <w:szCs w:val="30"/>
          <w:shd w:val="clear" w:fill="FFFFFF"/>
        </w:rPr>
        <w:t>发改案件的主要特点</w:t>
      </w:r>
    </w:p>
    <w:p>
      <w:pPr>
        <w:spacing w:line="560" w:lineRule="exact"/>
        <w:ind w:firstLine="600" w:firstLineChars="200"/>
        <w:rPr>
          <w:rFonts w:hint="eastAsia" w:ascii="Courier New" w:hAnsi="Courier New" w:eastAsia="宋体" w:cs="Courier New"/>
          <w:i w:val="0"/>
          <w:iCs w:val="0"/>
          <w:caps w:val="0"/>
          <w:color w:val="383838"/>
          <w:spacing w:val="0"/>
          <w:sz w:val="30"/>
          <w:szCs w:val="30"/>
          <w:shd w:val="clear" w:fill="FFFFFF"/>
          <w:lang w:eastAsia="zh-CN"/>
        </w:rPr>
      </w:pPr>
      <w:r>
        <w:rPr>
          <w:rFonts w:hint="default" w:ascii="Courier New" w:hAnsi="Courier New" w:eastAsia="Courier New" w:cs="Courier New"/>
          <w:i w:val="0"/>
          <w:iCs w:val="0"/>
          <w:caps w:val="0"/>
          <w:color w:val="383838"/>
          <w:spacing w:val="0"/>
          <w:sz w:val="30"/>
          <w:szCs w:val="30"/>
          <w:shd w:val="clear" w:fill="FFFFFF"/>
        </w:rPr>
        <w:t>　（一）20</w:t>
      </w:r>
      <w:r>
        <w:rPr>
          <w:rFonts w:hint="eastAsia" w:ascii="Courier New" w:hAnsi="Courier New" w:eastAsia="宋体" w:cs="Courier New"/>
          <w:i w:val="0"/>
          <w:iCs w:val="0"/>
          <w:caps w:val="0"/>
          <w:color w:val="383838"/>
          <w:spacing w:val="0"/>
          <w:sz w:val="30"/>
          <w:szCs w:val="30"/>
          <w:shd w:val="clear" w:fill="FFFFFF"/>
          <w:lang w:val="en-US" w:eastAsia="zh-CN"/>
        </w:rPr>
        <w:t>21</w:t>
      </w:r>
      <w:r>
        <w:rPr>
          <w:rFonts w:hint="default" w:ascii="Courier New" w:hAnsi="Courier New" w:eastAsia="Courier New" w:cs="Courier New"/>
          <w:i w:val="0"/>
          <w:iCs w:val="0"/>
          <w:caps w:val="0"/>
          <w:color w:val="383838"/>
          <w:spacing w:val="0"/>
          <w:sz w:val="30"/>
          <w:szCs w:val="30"/>
          <w:shd w:val="clear" w:fill="FFFFFF"/>
        </w:rPr>
        <w:t>年度，</w:t>
      </w:r>
      <w:r>
        <w:rPr>
          <w:rFonts w:hint="eastAsia" w:ascii="Courier New" w:hAnsi="Courier New" w:eastAsia="宋体" w:cs="Courier New"/>
          <w:i w:val="0"/>
          <w:iCs w:val="0"/>
          <w:caps w:val="0"/>
          <w:color w:val="383838"/>
          <w:spacing w:val="0"/>
          <w:sz w:val="30"/>
          <w:szCs w:val="30"/>
          <w:shd w:val="clear" w:fill="FFFFFF"/>
          <w:lang w:eastAsia="zh-CN"/>
        </w:rPr>
        <w:t>我</w:t>
      </w:r>
      <w:r>
        <w:rPr>
          <w:rFonts w:hint="default" w:ascii="Courier New" w:hAnsi="Courier New" w:eastAsia="Courier New" w:cs="Courier New"/>
          <w:i w:val="0"/>
          <w:iCs w:val="0"/>
          <w:caps w:val="0"/>
          <w:color w:val="383838"/>
          <w:spacing w:val="0"/>
          <w:sz w:val="30"/>
          <w:szCs w:val="30"/>
          <w:shd w:val="clear" w:fill="FFFFFF"/>
        </w:rPr>
        <w:t>一审上诉案件发改率仍较高，客观上反映出本院一审上诉案件质量确实存在一些程序违法和实体处理不当的问题。</w:t>
      </w:r>
    </w:p>
    <w:p>
      <w:pPr>
        <w:spacing w:line="560" w:lineRule="exact"/>
        <w:ind w:firstLine="600" w:firstLineChars="200"/>
        <w:rPr>
          <w:rFonts w:hint="eastAsia" w:ascii="Courier New" w:hAnsi="Courier New" w:eastAsia="宋体" w:cs="Courier New"/>
          <w:i w:val="0"/>
          <w:iCs w:val="0"/>
          <w:caps w:val="0"/>
          <w:color w:val="383838"/>
          <w:spacing w:val="0"/>
          <w:sz w:val="30"/>
          <w:szCs w:val="30"/>
          <w:shd w:val="clear" w:fill="FFFFFF"/>
          <w:lang w:eastAsia="zh-CN"/>
        </w:rPr>
      </w:pPr>
      <w:r>
        <w:rPr>
          <w:rFonts w:hint="default" w:ascii="Courier New" w:hAnsi="Courier New" w:eastAsia="Courier New" w:cs="Courier New"/>
          <w:i w:val="0"/>
          <w:iCs w:val="0"/>
          <w:caps w:val="0"/>
          <w:color w:val="383838"/>
          <w:spacing w:val="0"/>
          <w:sz w:val="30"/>
          <w:szCs w:val="30"/>
          <w:shd w:val="clear" w:fill="FFFFFF"/>
        </w:rPr>
        <w:t>　（二）</w:t>
      </w:r>
      <w:r>
        <w:rPr>
          <w:rFonts w:hint="eastAsia" w:ascii="Courier New" w:hAnsi="Courier New" w:eastAsia="宋体" w:cs="Courier New"/>
          <w:i w:val="0"/>
          <w:iCs w:val="0"/>
          <w:caps w:val="0"/>
          <w:color w:val="383838"/>
          <w:spacing w:val="0"/>
          <w:sz w:val="30"/>
          <w:szCs w:val="30"/>
          <w:shd w:val="clear" w:fill="FFFFFF"/>
          <w:lang w:eastAsia="zh-CN"/>
        </w:rPr>
        <w:t>发改率一定程度上反映出</w:t>
      </w:r>
      <w:r>
        <w:rPr>
          <w:rFonts w:hint="default" w:ascii="Courier New" w:hAnsi="Courier New" w:eastAsia="Courier New" w:cs="Courier New"/>
          <w:i w:val="0"/>
          <w:iCs w:val="0"/>
          <w:caps w:val="0"/>
          <w:color w:val="383838"/>
          <w:spacing w:val="0"/>
          <w:sz w:val="30"/>
          <w:szCs w:val="30"/>
          <w:shd w:val="clear" w:fill="FFFFFF"/>
        </w:rPr>
        <w:t>缺少与上一级法院审判业务部门或法官的沟通和交流，造成上下两级法院的主审法官或合议庭对案件事实、法律适用及对现行相关政策的理解、把握、认识不一致导致案件被改判，严重影响了审判工作质效。</w:t>
      </w:r>
    </w:p>
    <w:p>
      <w:pPr>
        <w:spacing w:line="560" w:lineRule="exact"/>
        <w:ind w:firstLine="600" w:firstLineChars="200"/>
        <w:rPr>
          <w:rFonts w:hint="eastAsia" w:ascii="Courier New" w:hAnsi="Courier New" w:eastAsia="宋体" w:cs="Courier New"/>
          <w:i w:val="0"/>
          <w:iCs w:val="0"/>
          <w:caps w:val="0"/>
          <w:color w:val="383838"/>
          <w:spacing w:val="0"/>
          <w:sz w:val="30"/>
          <w:szCs w:val="30"/>
          <w:shd w:val="clear" w:fill="FFFFFF"/>
          <w:lang w:eastAsia="zh-CN"/>
        </w:rPr>
      </w:pPr>
      <w:r>
        <w:rPr>
          <w:rFonts w:hint="default" w:ascii="Courier New" w:hAnsi="Courier New" w:eastAsia="Courier New" w:cs="Courier New"/>
          <w:i w:val="0"/>
          <w:iCs w:val="0"/>
          <w:caps w:val="0"/>
          <w:color w:val="383838"/>
          <w:spacing w:val="0"/>
          <w:sz w:val="30"/>
          <w:szCs w:val="30"/>
          <w:shd w:val="clear" w:fill="FFFFFF"/>
        </w:rPr>
        <w:t>　（三）从发改案件的情况，反映出</w:t>
      </w:r>
      <w:r>
        <w:rPr>
          <w:rFonts w:hint="eastAsia" w:ascii="Courier New" w:hAnsi="Courier New" w:eastAsia="宋体" w:cs="Courier New"/>
          <w:i w:val="0"/>
          <w:iCs w:val="0"/>
          <w:caps w:val="0"/>
          <w:color w:val="383838"/>
          <w:spacing w:val="0"/>
          <w:sz w:val="30"/>
          <w:szCs w:val="30"/>
          <w:shd w:val="clear" w:fill="FFFFFF"/>
          <w:lang w:eastAsia="zh-CN"/>
        </w:rPr>
        <w:t>应加强司法能力建设，在今后的案件办理过程中，避免</w:t>
      </w:r>
      <w:r>
        <w:rPr>
          <w:rFonts w:hint="default" w:ascii="Courier New" w:hAnsi="Courier New" w:eastAsia="Courier New" w:cs="Courier New"/>
          <w:i w:val="0"/>
          <w:iCs w:val="0"/>
          <w:caps w:val="0"/>
          <w:color w:val="383838"/>
          <w:spacing w:val="0"/>
          <w:sz w:val="30"/>
          <w:szCs w:val="30"/>
          <w:shd w:val="clear" w:fill="FFFFFF"/>
        </w:rPr>
        <w:t>部分案件认定事实不清，适用法律错误，遗漏必要的诉讼参与人，</w:t>
      </w:r>
      <w:r>
        <w:rPr>
          <w:rFonts w:hint="eastAsia" w:ascii="Courier New" w:hAnsi="Courier New" w:eastAsia="宋体" w:cs="Courier New"/>
          <w:i w:val="0"/>
          <w:iCs w:val="0"/>
          <w:caps w:val="0"/>
          <w:color w:val="383838"/>
          <w:spacing w:val="0"/>
          <w:sz w:val="30"/>
          <w:szCs w:val="30"/>
          <w:shd w:val="clear" w:fill="FFFFFF"/>
          <w:lang w:eastAsia="zh-CN"/>
        </w:rPr>
        <w:t>违法缺席审理等</w:t>
      </w:r>
      <w:r>
        <w:rPr>
          <w:rFonts w:hint="default" w:ascii="Courier New" w:hAnsi="Courier New" w:eastAsia="Courier New" w:cs="Courier New"/>
          <w:i w:val="0"/>
          <w:iCs w:val="0"/>
          <w:caps w:val="0"/>
          <w:color w:val="383838"/>
          <w:spacing w:val="0"/>
          <w:sz w:val="30"/>
          <w:szCs w:val="30"/>
          <w:shd w:val="clear" w:fill="FFFFFF"/>
        </w:rPr>
        <w:t>剥夺当事人的诉讼权利等问题。</w:t>
      </w:r>
    </w:p>
    <w:p>
      <w:pPr>
        <w:spacing w:line="560" w:lineRule="exact"/>
        <w:ind w:firstLine="600" w:firstLineChars="200"/>
        <w:rPr>
          <w:rFonts w:hint="eastAsia" w:ascii="Courier New" w:hAnsi="Courier New" w:eastAsia="宋体" w:cs="Courier New"/>
          <w:i w:val="0"/>
          <w:iCs w:val="0"/>
          <w:caps w:val="0"/>
          <w:color w:val="383838"/>
          <w:spacing w:val="0"/>
          <w:sz w:val="30"/>
          <w:szCs w:val="30"/>
          <w:shd w:val="clear" w:fill="FFFFFF"/>
          <w:lang w:eastAsia="zh-CN"/>
        </w:rPr>
      </w:pPr>
      <w:r>
        <w:rPr>
          <w:rFonts w:hint="default" w:ascii="Courier New" w:hAnsi="Courier New" w:eastAsia="Courier New" w:cs="Courier New"/>
          <w:i w:val="0"/>
          <w:iCs w:val="0"/>
          <w:caps w:val="0"/>
          <w:color w:val="383838"/>
          <w:spacing w:val="0"/>
          <w:sz w:val="30"/>
          <w:szCs w:val="30"/>
          <w:shd w:val="clear" w:fill="FFFFFF"/>
        </w:rPr>
        <w:t>  （四）缺少对案件发改原因进行总结和交流，造成同样原因发改的案件反复出现。</w:t>
      </w:r>
    </w:p>
    <w:p>
      <w:pPr>
        <w:spacing w:line="560" w:lineRule="exact"/>
        <w:ind w:firstLine="600" w:firstLineChars="200"/>
        <w:rPr>
          <w:rStyle w:val="8"/>
          <w:rFonts w:hint="eastAsia" w:ascii="Courier New" w:hAnsi="Courier New" w:eastAsia="宋体" w:cs="Courier New"/>
          <w:i w:val="0"/>
          <w:iCs w:val="0"/>
          <w:caps w:val="0"/>
          <w:color w:val="383838"/>
          <w:spacing w:val="0"/>
          <w:sz w:val="30"/>
          <w:szCs w:val="30"/>
          <w:shd w:val="clear" w:fill="FFFFFF"/>
          <w:lang w:eastAsia="zh-CN"/>
        </w:rPr>
      </w:pPr>
      <w:r>
        <w:rPr>
          <w:rStyle w:val="8"/>
          <w:rFonts w:hint="default" w:ascii="Courier New" w:hAnsi="Courier New" w:eastAsia="Courier New" w:cs="Courier New"/>
          <w:i w:val="0"/>
          <w:iCs w:val="0"/>
          <w:caps w:val="0"/>
          <w:color w:val="383838"/>
          <w:spacing w:val="0"/>
          <w:sz w:val="30"/>
          <w:szCs w:val="30"/>
          <w:shd w:val="clear" w:fill="FFFFFF"/>
        </w:rPr>
        <w:t>　</w:t>
      </w:r>
      <w:r>
        <w:rPr>
          <w:rStyle w:val="8"/>
          <w:rFonts w:hint="eastAsia" w:ascii="Courier New" w:hAnsi="Courier New" w:eastAsia="宋体" w:cs="Courier New"/>
          <w:i w:val="0"/>
          <w:iCs w:val="0"/>
          <w:caps w:val="0"/>
          <w:color w:val="383838"/>
          <w:spacing w:val="0"/>
          <w:sz w:val="30"/>
          <w:szCs w:val="30"/>
          <w:shd w:val="clear" w:fill="FFFFFF"/>
          <w:lang w:eastAsia="zh-CN"/>
        </w:rPr>
        <w:t>四</w:t>
      </w:r>
      <w:r>
        <w:rPr>
          <w:rStyle w:val="8"/>
          <w:rFonts w:hint="default" w:ascii="Courier New" w:hAnsi="Courier New" w:eastAsia="Courier New" w:cs="Courier New"/>
          <w:i w:val="0"/>
          <w:iCs w:val="0"/>
          <w:caps w:val="0"/>
          <w:color w:val="383838"/>
          <w:spacing w:val="0"/>
          <w:sz w:val="30"/>
          <w:szCs w:val="30"/>
          <w:shd w:val="clear" w:fill="FFFFFF"/>
        </w:rPr>
        <w:t>、发回重审案件存在问题及原因</w:t>
      </w:r>
    </w:p>
    <w:p>
      <w:pPr>
        <w:spacing w:line="560" w:lineRule="exact"/>
        <w:ind w:firstLine="600" w:firstLineChars="200"/>
        <w:rPr>
          <w:rFonts w:hint="eastAsia" w:ascii="Courier New" w:hAnsi="Courier New" w:eastAsia="宋体" w:cs="Courier New"/>
          <w:i w:val="0"/>
          <w:iCs w:val="0"/>
          <w:caps w:val="0"/>
          <w:color w:val="383838"/>
          <w:spacing w:val="0"/>
          <w:sz w:val="30"/>
          <w:szCs w:val="30"/>
          <w:shd w:val="clear" w:fill="FFFFFF"/>
          <w:lang w:eastAsia="zh-CN"/>
        </w:rPr>
      </w:pPr>
      <w:r>
        <w:rPr>
          <w:rFonts w:hint="default" w:ascii="Courier New" w:hAnsi="Courier New" w:eastAsia="Courier New" w:cs="Courier New"/>
          <w:i w:val="0"/>
          <w:iCs w:val="0"/>
          <w:caps w:val="0"/>
          <w:color w:val="383838"/>
          <w:spacing w:val="0"/>
          <w:sz w:val="30"/>
          <w:szCs w:val="30"/>
          <w:shd w:val="clear" w:fill="FFFFFF"/>
        </w:rPr>
        <w:t>   </w:t>
      </w:r>
      <w:r>
        <w:rPr>
          <w:rStyle w:val="8"/>
          <w:rFonts w:hint="default" w:ascii="Courier New" w:hAnsi="Courier New" w:eastAsia="Courier New" w:cs="Courier New"/>
          <w:i w:val="0"/>
          <w:iCs w:val="0"/>
          <w:caps w:val="0"/>
          <w:color w:val="383838"/>
          <w:spacing w:val="0"/>
          <w:sz w:val="30"/>
          <w:szCs w:val="30"/>
          <w:shd w:val="clear" w:fill="FFFFFF"/>
        </w:rPr>
        <w:t>（一）</w:t>
      </w:r>
      <w:r>
        <w:rPr>
          <w:rFonts w:hint="default" w:ascii="Courier New" w:hAnsi="Courier New" w:eastAsia="Courier New" w:cs="Courier New"/>
          <w:i w:val="0"/>
          <w:iCs w:val="0"/>
          <w:caps w:val="0"/>
          <w:color w:val="383838"/>
          <w:spacing w:val="0"/>
          <w:sz w:val="30"/>
          <w:szCs w:val="30"/>
          <w:shd w:val="clear" w:fill="FFFFFF"/>
        </w:rPr>
        <w:t>发回重审的案件存在问题主要表现：</w:t>
      </w:r>
      <w:r>
        <w:rPr>
          <w:rStyle w:val="8"/>
          <w:rFonts w:hint="default" w:ascii="Courier New" w:hAnsi="Courier New" w:eastAsia="Courier New" w:cs="Courier New"/>
          <w:i w:val="0"/>
          <w:iCs w:val="0"/>
          <w:caps w:val="0"/>
          <w:color w:val="383838"/>
          <w:spacing w:val="0"/>
          <w:sz w:val="30"/>
          <w:szCs w:val="30"/>
          <w:shd w:val="clear" w:fill="FFFFFF"/>
        </w:rPr>
        <w:t>一是</w:t>
      </w:r>
      <w:r>
        <w:rPr>
          <w:rFonts w:hint="default" w:ascii="Courier New" w:hAnsi="Courier New" w:eastAsia="Courier New" w:cs="Courier New"/>
          <w:i w:val="0"/>
          <w:iCs w:val="0"/>
          <w:caps w:val="0"/>
          <w:color w:val="383838"/>
          <w:spacing w:val="0"/>
          <w:sz w:val="30"/>
          <w:szCs w:val="30"/>
          <w:shd w:val="clear" w:fill="FFFFFF"/>
        </w:rPr>
        <w:t>认定事实不清；</w:t>
      </w:r>
      <w:r>
        <w:rPr>
          <w:rStyle w:val="8"/>
          <w:rFonts w:hint="default" w:ascii="Courier New" w:hAnsi="Courier New" w:eastAsia="Courier New" w:cs="Courier New"/>
          <w:i w:val="0"/>
          <w:iCs w:val="0"/>
          <w:caps w:val="0"/>
          <w:color w:val="383838"/>
          <w:spacing w:val="0"/>
          <w:sz w:val="30"/>
          <w:szCs w:val="30"/>
          <w:shd w:val="clear" w:fill="FFFFFF"/>
        </w:rPr>
        <w:t>二是</w:t>
      </w:r>
      <w:r>
        <w:rPr>
          <w:rStyle w:val="8"/>
          <w:rFonts w:hint="eastAsia" w:ascii="Courier New" w:hAnsi="Courier New" w:eastAsia="宋体" w:cs="Courier New"/>
          <w:i w:val="0"/>
          <w:iCs w:val="0"/>
          <w:caps w:val="0"/>
          <w:color w:val="383838"/>
          <w:spacing w:val="0"/>
          <w:sz w:val="30"/>
          <w:szCs w:val="30"/>
          <w:shd w:val="clear" w:fill="FFFFFF"/>
          <w:lang w:eastAsia="zh-CN"/>
        </w:rPr>
        <w:t>因程序违法，被发回重审</w:t>
      </w:r>
      <w:r>
        <w:rPr>
          <w:rFonts w:hint="default" w:ascii="Courier New" w:hAnsi="Courier New" w:eastAsia="Courier New" w:cs="Courier New"/>
          <w:i w:val="0"/>
          <w:iCs w:val="0"/>
          <w:caps w:val="0"/>
          <w:color w:val="383838"/>
          <w:spacing w:val="0"/>
          <w:sz w:val="30"/>
          <w:szCs w:val="30"/>
          <w:shd w:val="clear" w:fill="FFFFFF"/>
        </w:rPr>
        <w:t>；</w:t>
      </w:r>
      <w:r>
        <w:rPr>
          <w:rStyle w:val="8"/>
          <w:rFonts w:hint="default" w:ascii="Courier New" w:hAnsi="Courier New" w:eastAsia="Courier New" w:cs="Courier New"/>
          <w:i w:val="0"/>
          <w:iCs w:val="0"/>
          <w:caps w:val="0"/>
          <w:color w:val="383838"/>
          <w:spacing w:val="0"/>
          <w:sz w:val="30"/>
          <w:szCs w:val="30"/>
          <w:shd w:val="clear" w:fill="FFFFFF"/>
        </w:rPr>
        <w:t>三是</w:t>
      </w:r>
      <w:r>
        <w:rPr>
          <w:rFonts w:hint="default" w:ascii="Courier New" w:hAnsi="Courier New" w:eastAsia="Courier New" w:cs="Courier New"/>
          <w:i w:val="0"/>
          <w:iCs w:val="0"/>
          <w:caps w:val="0"/>
          <w:color w:val="383838"/>
          <w:spacing w:val="0"/>
          <w:sz w:val="30"/>
          <w:szCs w:val="30"/>
          <w:shd w:val="clear" w:fill="FFFFFF"/>
        </w:rPr>
        <w:t>当事人变更诉讼请求后未依法向双方当事人重新指定举证期限和重新开庭审理，径行判决，剥夺当事人的诉讼权利，程序违法；</w:t>
      </w:r>
      <w:r>
        <w:rPr>
          <w:rStyle w:val="8"/>
          <w:rFonts w:hint="default" w:ascii="Courier New" w:hAnsi="Courier New" w:eastAsia="Courier New" w:cs="Courier New"/>
          <w:i w:val="0"/>
          <w:iCs w:val="0"/>
          <w:caps w:val="0"/>
          <w:color w:val="383838"/>
          <w:spacing w:val="0"/>
          <w:sz w:val="30"/>
          <w:szCs w:val="30"/>
          <w:shd w:val="clear" w:fill="FFFFFF"/>
        </w:rPr>
        <w:t>四是</w:t>
      </w:r>
      <w:r>
        <w:rPr>
          <w:rFonts w:hint="default" w:ascii="Courier New" w:hAnsi="Courier New" w:eastAsia="Courier New" w:cs="Courier New"/>
          <w:i w:val="0"/>
          <w:iCs w:val="0"/>
          <w:caps w:val="0"/>
          <w:color w:val="383838"/>
          <w:spacing w:val="0"/>
          <w:sz w:val="30"/>
          <w:szCs w:val="30"/>
          <w:shd w:val="clear" w:fill="FFFFFF"/>
        </w:rPr>
        <w:t>遗漏当事人，违反法定程序；</w:t>
      </w:r>
      <w:r>
        <w:rPr>
          <w:rStyle w:val="8"/>
          <w:rFonts w:hint="default" w:ascii="Courier New" w:hAnsi="Courier New" w:eastAsia="Courier New" w:cs="Courier New"/>
          <w:i w:val="0"/>
          <w:iCs w:val="0"/>
          <w:caps w:val="0"/>
          <w:color w:val="383838"/>
          <w:spacing w:val="0"/>
          <w:sz w:val="30"/>
          <w:szCs w:val="30"/>
          <w:shd w:val="clear" w:fill="FFFFFF"/>
        </w:rPr>
        <w:t>五是</w:t>
      </w:r>
      <w:r>
        <w:rPr>
          <w:rFonts w:hint="default" w:ascii="Courier New" w:hAnsi="Courier New" w:eastAsia="Courier New" w:cs="Courier New"/>
          <w:i w:val="0"/>
          <w:iCs w:val="0"/>
          <w:caps w:val="0"/>
          <w:color w:val="383838"/>
          <w:spacing w:val="0"/>
          <w:sz w:val="30"/>
          <w:szCs w:val="30"/>
          <w:shd w:val="clear" w:fill="FFFFFF"/>
        </w:rPr>
        <w:t>当事人二审期间提交新证据。</w:t>
      </w:r>
    </w:p>
    <w:p>
      <w:pPr>
        <w:spacing w:line="560" w:lineRule="exact"/>
        <w:ind w:firstLine="600" w:firstLineChars="200"/>
        <w:rPr>
          <w:rStyle w:val="8"/>
          <w:rFonts w:hint="eastAsia" w:ascii="Courier New" w:hAnsi="Courier New" w:eastAsia="宋体" w:cs="Courier New"/>
          <w:i w:val="0"/>
          <w:iCs w:val="0"/>
          <w:caps w:val="0"/>
          <w:color w:val="383838"/>
          <w:spacing w:val="0"/>
          <w:sz w:val="30"/>
          <w:szCs w:val="30"/>
          <w:shd w:val="clear" w:fill="FFFFFF"/>
          <w:lang w:eastAsia="zh-CN"/>
        </w:rPr>
      </w:pPr>
      <w:r>
        <w:rPr>
          <w:rFonts w:hint="default" w:ascii="Courier New" w:hAnsi="Courier New" w:eastAsia="Courier New" w:cs="Courier New"/>
          <w:i w:val="0"/>
          <w:iCs w:val="0"/>
          <w:caps w:val="0"/>
          <w:color w:val="383838"/>
          <w:spacing w:val="0"/>
          <w:sz w:val="30"/>
          <w:szCs w:val="30"/>
          <w:shd w:val="clear" w:fill="FFFFFF"/>
        </w:rPr>
        <w:t>　　</w:t>
      </w:r>
      <w:r>
        <w:rPr>
          <w:rStyle w:val="8"/>
          <w:rFonts w:hint="default" w:ascii="Courier New" w:hAnsi="Courier New" w:eastAsia="Courier New" w:cs="Courier New"/>
          <w:i w:val="0"/>
          <w:iCs w:val="0"/>
          <w:caps w:val="0"/>
          <w:color w:val="383838"/>
          <w:spacing w:val="0"/>
          <w:sz w:val="30"/>
          <w:szCs w:val="30"/>
          <w:shd w:val="clear" w:fill="FFFFFF"/>
        </w:rPr>
        <w:t>（二）发回重审案件存在问题及原因分析：</w:t>
      </w:r>
    </w:p>
    <w:p>
      <w:pPr>
        <w:spacing w:line="560" w:lineRule="exact"/>
        <w:ind w:firstLine="600" w:firstLineChars="200"/>
        <w:rPr>
          <w:rFonts w:ascii="Times New Roman" w:hAnsi="Times New Roman" w:eastAsia="仿宋" w:cs="Times New Roman"/>
          <w:sz w:val="32"/>
        </w:rPr>
      </w:pPr>
      <w:r>
        <w:rPr>
          <w:rStyle w:val="8"/>
          <w:rFonts w:hint="default" w:ascii="Courier New" w:hAnsi="Courier New" w:eastAsia="Courier New" w:cs="Courier New"/>
          <w:i w:val="0"/>
          <w:iCs w:val="0"/>
          <w:caps w:val="0"/>
          <w:color w:val="383838"/>
          <w:spacing w:val="0"/>
          <w:sz w:val="30"/>
          <w:szCs w:val="30"/>
          <w:shd w:val="clear" w:fill="FFFFFF"/>
        </w:rPr>
        <w:t>    1.因认定事实不清，证据不足发回重审：</w:t>
      </w:r>
      <w:r>
        <w:rPr>
          <w:rFonts w:hint="default" w:ascii="Courier New" w:hAnsi="Courier New" w:eastAsia="Courier New" w:cs="Courier New"/>
          <w:i w:val="0"/>
          <w:iCs w:val="0"/>
          <w:caps w:val="0"/>
          <w:color w:val="383838"/>
          <w:spacing w:val="0"/>
          <w:sz w:val="30"/>
          <w:szCs w:val="30"/>
          <w:shd w:val="clear" w:fill="FFFFFF"/>
        </w:rPr>
        <w:t>如</w:t>
      </w:r>
      <w:r>
        <w:rPr>
          <w:rFonts w:hint="eastAsia" w:ascii="Courier New" w:hAnsi="Courier New" w:eastAsia="Courier New" w:cs="Courier New"/>
          <w:i w:val="0"/>
          <w:iCs w:val="0"/>
          <w:caps w:val="0"/>
          <w:color w:val="383838"/>
          <w:spacing w:val="0"/>
          <w:sz w:val="30"/>
          <w:szCs w:val="30"/>
          <w:shd w:val="clear" w:fill="FFFFFF"/>
          <w:lang w:val="en-US" w:eastAsia="zh-CN"/>
        </w:rPr>
        <w:t>（2019）吉0402民再9号姜自栋与辽源市钰潆城市照明工程有限公司、辽源祥和宾馆、李雪承揽合同纠纷案</w:t>
      </w:r>
      <w:r>
        <w:rPr>
          <w:rFonts w:hint="default" w:ascii="Courier New" w:hAnsi="Courier New" w:eastAsia="Courier New" w:cs="Courier New"/>
          <w:i w:val="0"/>
          <w:iCs w:val="0"/>
          <w:caps w:val="0"/>
          <w:color w:val="383838"/>
          <w:spacing w:val="0"/>
          <w:sz w:val="30"/>
          <w:szCs w:val="30"/>
          <w:shd w:val="clear" w:fill="FFFFFF"/>
        </w:rPr>
        <w:t>，</w:t>
      </w:r>
      <w:r>
        <w:rPr>
          <w:rFonts w:ascii="Times New Roman" w:hAnsi="仿宋" w:eastAsia="仿宋" w:cs="Times New Roman"/>
          <w:sz w:val="32"/>
        </w:rPr>
        <w:t>本案是对已经发生法律效力的调解书提起再审的案件，依据《中华人民共和国民事诉讼法》第二百零一条规定，只有证明调解违反自愿原则或者调解协议的内容违反法律的，才能启动再审。依据《中华人民共和国民事诉讼法》第二百零八条第二款的规定，同级人民检察院发现调解书损害国家利益、社会利益的才可以向同级人民法院提出检察建议或提请上级人民检察院向同级人民法院提出抗诉。</w:t>
      </w:r>
      <w:r>
        <w:rPr>
          <w:rFonts w:hint="eastAsia" w:ascii="Times New Roman" w:hAnsi="Times New Roman" w:eastAsia="仿宋" w:cs="Times New Roman"/>
          <w:sz w:val="32"/>
          <w:lang w:eastAsia="zh-CN"/>
        </w:rPr>
        <w:t>我院</w:t>
      </w:r>
      <w:r>
        <w:rPr>
          <w:rFonts w:ascii="Times New Roman" w:hAnsi="Times New Roman" w:eastAsia="仿宋" w:cs="Times New Roman"/>
          <w:sz w:val="32"/>
        </w:rPr>
        <w:t>作出（2019）吉0402民监8号民事裁定书对（2015）龙民初字第991号民事调解书裁定再审，是依据龙山区人民检察院龙检民（行）监（2019）22040200001号检察建议书提起的再审，但该检察建议书针对的是对审判程序中审判人员违法行为的监督检察建议，而不是再审检察建议。</w:t>
      </w:r>
      <w:r>
        <w:rPr>
          <w:rFonts w:hint="eastAsia" w:ascii="Times New Roman" w:hAnsi="Times New Roman" w:eastAsia="仿宋" w:cs="Times New Roman"/>
          <w:sz w:val="32"/>
          <w:lang w:eastAsia="zh-CN"/>
        </w:rPr>
        <w:t>二审认为</w:t>
      </w:r>
      <w:r>
        <w:rPr>
          <w:rFonts w:ascii="Times New Roman" w:hAnsi="Times New Roman" w:eastAsia="仿宋" w:cs="Times New Roman"/>
          <w:sz w:val="32"/>
        </w:rPr>
        <w:t>一审判决撤销（2015）龙民初字第991号民事调解书并未说明应当撤销的具体理由，属于裁判依据的基本事实不清，证据不足。应依法查清对生效调解书提起再审的事实依据是否充分，作出相应的处理。</w:t>
      </w:r>
      <w:r>
        <w:rPr>
          <w:rFonts w:hint="eastAsia" w:ascii="Times New Roman" w:hAnsi="Times New Roman" w:eastAsia="仿宋" w:cs="Times New Roman"/>
          <w:sz w:val="32"/>
          <w:lang w:eastAsia="zh-CN"/>
        </w:rPr>
        <w:t>故</w:t>
      </w:r>
      <w:r>
        <w:rPr>
          <w:rFonts w:ascii="Times New Roman" w:hAnsi="Times New Roman" w:eastAsia="仿宋" w:cs="Times New Roman"/>
          <w:sz w:val="32"/>
        </w:rPr>
        <w:t>撤销吉林省辽源市龙山区人民法院（2019）吉0402再9号民事判决发回重审。</w:t>
      </w:r>
      <w:r>
        <w:rPr>
          <w:rFonts w:hint="eastAsia" w:ascii="Times New Roman" w:hAnsi="Times New Roman" w:eastAsia="仿宋" w:cs="Times New Roman"/>
          <w:sz w:val="32"/>
          <w:lang w:eastAsia="zh-CN"/>
        </w:rPr>
        <w:t>该案</w:t>
      </w:r>
      <w:r>
        <w:rPr>
          <w:rFonts w:ascii="Times New Roman" w:hAnsi="Times New Roman" w:eastAsia="仿宋" w:cs="Times New Roman"/>
          <w:sz w:val="32"/>
          <w:szCs w:val="32"/>
        </w:rPr>
        <w:t>存在的问题：</w:t>
      </w:r>
      <w:r>
        <w:rPr>
          <w:rFonts w:ascii="Times New Roman" w:hAnsi="仿宋" w:eastAsia="仿宋" w:cs="Times New Roman"/>
          <w:sz w:val="32"/>
        </w:rPr>
        <w:t>依据《中华人民共和国民事诉讼法》第二百零一条规定，只有证明调解违反自愿原则或者调解协议的内容违反法律的，才能启动再审。</w:t>
      </w:r>
      <w:r>
        <w:rPr>
          <w:rFonts w:ascii="Times New Roman" w:hAnsi="Times New Roman" w:eastAsia="仿宋" w:cs="Times New Roman"/>
          <w:sz w:val="32"/>
        </w:rPr>
        <w:t>一审判决撤销（2015）龙民初字第991号民事调解书并未说明应当撤销的具体理由，属于裁判依据的基本事实不清，证据不足。应依法查清对生效调解书提起再审的事实依据是否充分，作出相应的处理。</w:t>
      </w:r>
    </w:p>
    <w:p>
      <w:pPr>
        <w:spacing w:line="560" w:lineRule="exact"/>
        <w:ind w:firstLine="600" w:firstLineChars="200"/>
        <w:rPr>
          <w:rFonts w:hint="eastAsia" w:ascii="仿宋" w:hAnsi="仿宋" w:eastAsia="仿宋"/>
          <w:sz w:val="32"/>
        </w:rPr>
      </w:pPr>
      <w:r>
        <w:rPr>
          <w:rFonts w:hint="default" w:ascii="Courier New" w:hAnsi="Courier New" w:eastAsia="Courier New" w:cs="Courier New"/>
          <w:i w:val="0"/>
          <w:iCs w:val="0"/>
          <w:caps w:val="0"/>
          <w:color w:val="383838"/>
          <w:spacing w:val="0"/>
          <w:sz w:val="30"/>
          <w:szCs w:val="30"/>
          <w:shd w:val="clear" w:fill="FFFFFF"/>
        </w:rPr>
        <w:t>又如</w:t>
      </w:r>
      <w:r>
        <w:rPr>
          <w:rFonts w:hint="eastAsia" w:ascii="仿宋_GB2312" w:hAnsi="仿宋_GB2312" w:eastAsia="仿宋_GB2312" w:cs="仿宋_GB2312"/>
          <w:color w:val="000000" w:themeColor="text1"/>
          <w:sz w:val="32"/>
          <w:szCs w:val="32"/>
          <w14:textFill>
            <w14:solidFill>
              <w14:schemeClr w14:val="tx1"/>
            </w14:solidFill>
          </w14:textFill>
        </w:rPr>
        <w:t>（2020）吉0402刑初291号</w:t>
      </w:r>
      <w:r>
        <w:rPr>
          <w:rFonts w:hint="eastAsia" w:ascii="仿宋_GB2312" w:hAnsi="仿宋_GB2312" w:eastAsia="仿宋_GB2312" w:cs="仿宋_GB2312"/>
          <w:sz w:val="32"/>
          <w:szCs w:val="32"/>
        </w:rPr>
        <w:t>被告人陈小东、陈双</w:t>
      </w:r>
      <w:r>
        <w:rPr>
          <w:rFonts w:hint="eastAsia" w:ascii="仿宋_GB2312" w:hAnsi="仿宋_GB2312" w:eastAsia="仿宋_GB2312" w:cs="仿宋_GB2312"/>
          <w:bCs/>
          <w:color w:val="000000"/>
          <w:sz w:val="32"/>
          <w:szCs w:val="32"/>
        </w:rPr>
        <w:t>犯非法吸收公众存款罪</w:t>
      </w:r>
      <w:r>
        <w:rPr>
          <w:rFonts w:hint="eastAsia" w:ascii="仿宋" w:hAnsi="仿宋" w:eastAsia="仿宋"/>
          <w:sz w:val="32"/>
          <w:szCs w:val="32"/>
        </w:rPr>
        <w:t>案，</w:t>
      </w:r>
      <w:r>
        <w:rPr>
          <w:rFonts w:hint="eastAsia" w:ascii="仿宋" w:hAnsi="仿宋" w:eastAsia="仿宋"/>
          <w:sz w:val="32"/>
          <w:szCs w:val="32"/>
          <w:lang w:eastAsia="zh-CN"/>
        </w:rPr>
        <w:t>二审法院</w:t>
      </w:r>
      <w:r>
        <w:rPr>
          <w:rFonts w:hint="eastAsia" w:ascii="仿宋" w:hAnsi="仿宋" w:eastAsia="仿宋"/>
          <w:sz w:val="32"/>
          <w:szCs w:val="32"/>
        </w:rPr>
        <w:t>以（2021）吉04刑终4号刑事裁定发回重审</w:t>
      </w:r>
      <w:r>
        <w:rPr>
          <w:rFonts w:hint="eastAsia" w:ascii="仿宋" w:hAnsi="仿宋" w:eastAsia="仿宋"/>
          <w:sz w:val="32"/>
          <w:szCs w:val="32"/>
          <w:lang w:eastAsia="zh-CN"/>
        </w:rPr>
        <w:t>。二审法院认为</w:t>
      </w:r>
      <w:r>
        <w:rPr>
          <w:rFonts w:hint="eastAsia" w:ascii="华文楷体" w:hAnsi="华文楷体" w:eastAsia="华文楷体" w:cs="仿宋_GB2312"/>
          <w:b/>
          <w:color w:val="000000" w:themeColor="text1"/>
          <w:sz w:val="32"/>
          <w:szCs w:val="32"/>
          <w14:textFill>
            <w14:solidFill>
              <w14:schemeClr w14:val="tx1"/>
            </w14:solidFill>
          </w14:textFill>
        </w:rPr>
        <w:t>一、</w:t>
      </w:r>
      <w:r>
        <w:rPr>
          <w:rFonts w:hint="eastAsia" w:ascii="华文楷体" w:hAnsi="华文楷体" w:eastAsia="华文楷体"/>
          <w:b/>
          <w:color w:val="000000"/>
          <w:sz w:val="32"/>
          <w:szCs w:val="32"/>
        </w:rPr>
        <w:t>原判决认定的事实不清。</w:t>
      </w:r>
      <w:r>
        <w:rPr>
          <w:rFonts w:hint="eastAsia" w:ascii="仿宋_GB2312" w:eastAsia="仿宋_GB2312"/>
          <w:color w:val="000000"/>
          <w:sz w:val="32"/>
          <w:szCs w:val="32"/>
        </w:rPr>
        <w:t>1、二</w:t>
      </w:r>
      <w:r>
        <w:rPr>
          <w:rFonts w:hint="eastAsia" w:ascii="仿宋_GB2312" w:hAnsi="仿宋_GB2312" w:eastAsia="仿宋_GB2312" w:cs="仿宋_GB2312"/>
          <w:sz w:val="32"/>
          <w:szCs w:val="32"/>
        </w:rPr>
        <w:t>被告人供职单位与公诉机关指控的不符：起诉书载明是北京中普信富投资管理有限公司辽源分公司，而判决书认定是北京中普利诚投资管理有限公司辽源分公司，是一家公司两个名称？还是两家独立或关联公司？</w:t>
      </w:r>
      <w:r>
        <w:rPr>
          <w:rFonts w:hint="eastAsia" w:ascii="仿宋_GB2312" w:eastAsia="仿宋_GB2312"/>
          <w:color w:val="000000"/>
          <w:sz w:val="32"/>
          <w:szCs w:val="32"/>
        </w:rPr>
        <w:t>2、二</w:t>
      </w:r>
      <w:r>
        <w:rPr>
          <w:rFonts w:hint="eastAsia" w:ascii="仿宋_GB2312" w:hAnsi="仿宋_GB2312" w:eastAsia="仿宋_GB2312" w:cs="仿宋_GB2312"/>
          <w:sz w:val="32"/>
          <w:szCs w:val="32"/>
        </w:rPr>
        <w:t>被告人均称齐春梅为辽源分公司负责人，该公司实际在岗员工20余人，目前只对其二人予以刑事追究。涉案相关人员为何不到案？有无遗漏犯罪嫌疑人？3、陈双称</w:t>
      </w:r>
      <w:r>
        <w:rPr>
          <w:rFonts w:hint="eastAsia" w:ascii="仿宋_GB2312" w:eastAsia="仿宋_GB2312"/>
          <w:color w:val="000000"/>
          <w:sz w:val="32"/>
          <w:szCs w:val="32"/>
        </w:rPr>
        <w:t>原判决认定的“将</w:t>
      </w:r>
      <w:r>
        <w:rPr>
          <w:rFonts w:hint="eastAsia" w:ascii="仿宋_GB2312" w:hAnsi="仿宋_GB2312" w:eastAsia="仿宋_GB2312" w:cs="仿宋_GB2312"/>
          <w:sz w:val="32"/>
          <w:szCs w:val="32"/>
        </w:rPr>
        <w:t>其取得收入全额上缴公安机关”不明确，其实际上缴数额应为27.93万元，而不是判决书中认定的24.66万元。</w:t>
      </w:r>
      <w:r>
        <w:rPr>
          <w:rFonts w:hint="eastAsia" w:ascii="华文楷体" w:hAnsi="华文楷体" w:eastAsia="华文楷体"/>
          <w:b/>
          <w:color w:val="000000"/>
          <w:sz w:val="32"/>
          <w:szCs w:val="32"/>
        </w:rPr>
        <w:t>二、审理程序存在瑕疵。</w:t>
      </w:r>
      <w:r>
        <w:rPr>
          <w:rFonts w:hint="eastAsia" w:ascii="仿宋_GB2312" w:eastAsia="仿宋_GB2312"/>
          <w:color w:val="000000"/>
          <w:sz w:val="32"/>
          <w:szCs w:val="32"/>
        </w:rPr>
        <w:t>1、</w:t>
      </w:r>
      <w:r>
        <w:rPr>
          <w:rFonts w:hint="eastAsia" w:ascii="仿宋_GB2312" w:hAnsi="仿宋_GB2312" w:eastAsia="仿宋_GB2312" w:cs="仿宋_GB2312"/>
          <w:sz w:val="32"/>
          <w:szCs w:val="32"/>
        </w:rPr>
        <w:t>陈小东辩护人所提辩护意见明确提出，其实际损失额有误，应结合北京中普公司返还进展情况加以调查认定，并要求对司法会计鉴定报告重新鉴定。原判决为何未按程序对该请求依法受理或驳回？2、本案系涉众型犯罪，社会影响大，不稳定因素多，对合议庭组成人员的专业素质和审判经验要求较高，两名陪审员在合议时未发表有价值意见，且未就影响定罪量刑的相关问题提请会商、汇报，亦未提请审委会讨论决定。</w:t>
      </w:r>
      <w:r>
        <w:rPr>
          <w:rFonts w:hint="eastAsia" w:ascii="仿宋_GB2312" w:eastAsia="仿宋_GB2312"/>
          <w:color w:val="000000"/>
          <w:sz w:val="32"/>
          <w:szCs w:val="32"/>
        </w:rPr>
        <w:t xml:space="preserve"> </w:t>
      </w:r>
      <w:r>
        <w:rPr>
          <w:rFonts w:hint="eastAsia" w:ascii="华文楷体" w:hAnsi="华文楷体" w:eastAsia="华文楷体"/>
          <w:b/>
          <w:color w:val="000000"/>
          <w:sz w:val="32"/>
          <w:szCs w:val="32"/>
        </w:rPr>
        <w:t>三、适用法律值得商榷。</w:t>
      </w:r>
      <w:r>
        <w:rPr>
          <w:rFonts w:hint="eastAsia" w:ascii="仿宋_GB2312" w:eastAsia="仿宋_GB2312"/>
          <w:color w:val="000000"/>
          <w:sz w:val="32"/>
          <w:szCs w:val="32"/>
        </w:rPr>
        <w:t>1、原判决以</w:t>
      </w:r>
      <w:r>
        <w:rPr>
          <w:rFonts w:hint="eastAsia" w:ascii="仿宋_GB2312" w:hAnsi="仿宋_GB2312" w:eastAsia="仿宋_GB2312" w:cs="仿宋_GB2312"/>
          <w:sz w:val="32"/>
          <w:szCs w:val="32"/>
        </w:rPr>
        <w:t>陈小东否认其系辽源分公司实际负责人为由不认定自首是否符合法律规定？其能否认定自首，应从我国刑法设立自首制度的积极意义出发，本着“有利于被告人”和“罪责刑相适应”原则，依法客观地结合在案证据依法认定。值得注意的是，实际负责人与实际控制人的地位和作用是不尽相同的。公安机关在起诉意见书中已确认陈小东对其所犯罪行供认不讳，其对本人身份和地位的辩解能否认定为否认主要犯罪事实？且</w:t>
      </w:r>
      <w:r>
        <w:rPr>
          <w:rFonts w:hint="eastAsia" w:ascii="仿宋_GB2312" w:eastAsia="仿宋_GB2312"/>
          <w:color w:val="000000"/>
          <w:sz w:val="32"/>
          <w:szCs w:val="32"/>
        </w:rPr>
        <w:t>陈双具有认罪认罚、全部退缴违法所得、从犯、自首等从轻、减轻处罚情节！调整量刑建议应注意与公诉机关进行有效沟通，并提出必要性、合理性依据。</w:t>
      </w:r>
      <w:r>
        <w:rPr>
          <w:rFonts w:ascii="仿宋_GB2312" w:eastAsia="仿宋_GB2312"/>
          <w:color w:val="000000"/>
          <w:sz w:val="32"/>
          <w:szCs w:val="32"/>
        </w:rPr>
        <w:t xml:space="preserve"> </w:t>
      </w:r>
      <w:r>
        <w:rPr>
          <w:rFonts w:hint="eastAsia" w:ascii="仿宋" w:hAnsi="仿宋" w:eastAsia="仿宋"/>
          <w:color w:val="000000"/>
          <w:sz w:val="32"/>
          <w:szCs w:val="32"/>
        </w:rPr>
        <w:t>2、本案系有全国影响的系列案件，辽宁多地及本省均有相关案件在侦办、审理中。现又值疫情期间，应自觉统筹兼顾，注意类案比对，确保量刑统一，及时向政法委和上级法院汇报审理进度和拟判结果，采用会商、补证等有效方式切实解决争议问题。</w:t>
      </w:r>
      <w:r>
        <w:rPr>
          <w:rFonts w:hint="eastAsia" w:ascii="仿宋" w:hAnsi="仿宋" w:eastAsia="仿宋"/>
          <w:color w:val="000000"/>
          <w:sz w:val="32"/>
          <w:szCs w:val="32"/>
          <w:lang w:eastAsia="zh-CN"/>
        </w:rPr>
        <w:t>如</w:t>
      </w:r>
      <w:r>
        <w:rPr>
          <w:rFonts w:hint="eastAsia" w:ascii="仿宋" w:hAnsi="仿宋" w:eastAsia="仿宋"/>
          <w:color w:val="000000"/>
          <w:sz w:val="32"/>
          <w:szCs w:val="32"/>
        </w:rPr>
        <w:t>朱忠波与高振兴民间借贷纠纷一案存在的问题</w:t>
      </w:r>
      <w:r>
        <w:rPr>
          <w:rFonts w:hint="eastAsia" w:ascii="仿宋" w:hAnsi="仿宋" w:eastAsia="仿宋"/>
          <w:color w:val="000000"/>
          <w:sz w:val="32"/>
          <w:szCs w:val="32"/>
          <w:lang w:eastAsia="zh-CN"/>
        </w:rPr>
        <w:t>：</w:t>
      </w:r>
      <w:r>
        <w:rPr>
          <w:rFonts w:hint="eastAsia" w:ascii="仿宋" w:hAnsi="仿宋" w:eastAsia="仿宋"/>
          <w:color w:val="000000"/>
          <w:sz w:val="32"/>
          <w:szCs w:val="32"/>
        </w:rPr>
        <w:t>朱忠波是否已通过其他途</w:t>
      </w:r>
      <w:r>
        <w:rPr>
          <w:rFonts w:hint="eastAsia" w:ascii="仿宋" w:hAnsi="仿宋" w:eastAsia="仿宋"/>
          <w:sz w:val="32"/>
        </w:rPr>
        <w:t>径偿还了欠款事实不清，为查清案件事实，应追加白宇、白昊东作为本案第三人参加诉讼</w:t>
      </w:r>
    </w:p>
    <w:p>
      <w:pPr>
        <w:tabs>
          <w:tab w:val="left" w:pos="4008"/>
          <w:tab w:val="right" w:pos="8306"/>
        </w:tabs>
        <w:spacing w:line="500" w:lineRule="exact"/>
        <w:ind w:firstLine="645"/>
        <w:jc w:val="left"/>
        <w:textAlignment w:val="baseline"/>
        <w:rPr>
          <w:rFonts w:hint="eastAsia" w:ascii="仿宋" w:hAnsi="仿宋" w:eastAsia="仿宋"/>
          <w:color w:val="000000"/>
          <w:sz w:val="32"/>
          <w:szCs w:val="32"/>
          <w:lang w:eastAsia="zh-CN"/>
        </w:rPr>
      </w:pPr>
    </w:p>
    <w:p>
      <w:pPr>
        <w:spacing w:line="500" w:lineRule="exact"/>
        <w:ind w:firstLine="600" w:firstLineChars="200"/>
        <w:rPr>
          <w:rStyle w:val="8"/>
          <w:rFonts w:hint="eastAsia" w:ascii="Courier New" w:hAnsi="Courier New" w:eastAsia="宋体" w:cs="Courier New"/>
          <w:i w:val="0"/>
          <w:iCs w:val="0"/>
          <w:caps w:val="0"/>
          <w:color w:val="383838"/>
          <w:spacing w:val="0"/>
          <w:sz w:val="30"/>
          <w:szCs w:val="30"/>
          <w:shd w:val="clear" w:fill="FFFFFF"/>
          <w:lang w:eastAsia="zh-CN"/>
        </w:rPr>
      </w:pPr>
      <w:r>
        <w:rPr>
          <w:rStyle w:val="8"/>
          <w:rFonts w:hint="default" w:ascii="Courier New" w:hAnsi="Courier New" w:eastAsia="Courier New" w:cs="Courier New"/>
          <w:i w:val="0"/>
          <w:iCs w:val="0"/>
          <w:caps w:val="0"/>
          <w:color w:val="383838"/>
          <w:spacing w:val="0"/>
          <w:sz w:val="30"/>
          <w:szCs w:val="30"/>
          <w:shd w:val="clear" w:fill="FFFFFF"/>
        </w:rPr>
        <w:t>  2.</w:t>
      </w:r>
      <w:r>
        <w:rPr>
          <w:rStyle w:val="8"/>
          <w:rFonts w:hint="eastAsia" w:ascii="Courier New" w:hAnsi="Courier New" w:eastAsia="宋体" w:cs="Courier New"/>
          <w:i w:val="0"/>
          <w:iCs w:val="0"/>
          <w:caps w:val="0"/>
          <w:color w:val="383838"/>
          <w:spacing w:val="0"/>
          <w:sz w:val="30"/>
          <w:szCs w:val="30"/>
          <w:shd w:val="clear" w:fill="FFFFFF"/>
          <w:lang w:eastAsia="zh-CN"/>
        </w:rPr>
        <w:t>因程序违法，被发回重审。</w:t>
      </w:r>
    </w:p>
    <w:p>
      <w:pPr>
        <w:spacing w:line="500" w:lineRule="exact"/>
        <w:ind w:firstLine="602" w:firstLineChars="200"/>
        <w:rPr>
          <w:rFonts w:hint="eastAsia" w:ascii="仿宋" w:eastAsia="仿宋"/>
          <w:sz w:val="32"/>
          <w:lang w:eastAsia="zh-CN"/>
        </w:rPr>
      </w:pPr>
      <w:r>
        <w:rPr>
          <w:rStyle w:val="8"/>
          <w:rFonts w:hint="eastAsia" w:ascii="Courier New" w:hAnsi="Courier New" w:eastAsia="宋体" w:cs="Courier New"/>
          <w:i w:val="0"/>
          <w:iCs w:val="0"/>
          <w:caps w:val="0"/>
          <w:color w:val="383838"/>
          <w:spacing w:val="0"/>
          <w:sz w:val="30"/>
          <w:szCs w:val="30"/>
          <w:shd w:val="clear" w:fill="FFFFFF"/>
          <w:lang w:eastAsia="zh-CN"/>
        </w:rPr>
        <w:t>（</w:t>
      </w:r>
      <w:r>
        <w:rPr>
          <w:rStyle w:val="8"/>
          <w:rFonts w:hint="eastAsia" w:ascii="Courier New" w:hAnsi="Courier New" w:eastAsia="宋体" w:cs="Courier New"/>
          <w:i w:val="0"/>
          <w:iCs w:val="0"/>
          <w:caps w:val="0"/>
          <w:color w:val="383838"/>
          <w:spacing w:val="0"/>
          <w:sz w:val="30"/>
          <w:szCs w:val="30"/>
          <w:shd w:val="clear" w:fill="FFFFFF"/>
          <w:lang w:val="en-US" w:eastAsia="zh-CN"/>
        </w:rPr>
        <w:t>1</w:t>
      </w:r>
      <w:r>
        <w:rPr>
          <w:rStyle w:val="8"/>
          <w:rFonts w:hint="eastAsia" w:ascii="Courier New" w:hAnsi="Courier New" w:eastAsia="宋体" w:cs="Courier New"/>
          <w:i w:val="0"/>
          <w:iCs w:val="0"/>
          <w:caps w:val="0"/>
          <w:color w:val="383838"/>
          <w:spacing w:val="0"/>
          <w:sz w:val="30"/>
          <w:szCs w:val="30"/>
          <w:shd w:val="clear" w:fill="FFFFFF"/>
          <w:lang w:eastAsia="zh-CN"/>
        </w:rPr>
        <w:t>）未</w:t>
      </w:r>
      <w:r>
        <w:rPr>
          <w:rStyle w:val="8"/>
          <w:rFonts w:hint="default" w:ascii="Courier New" w:hAnsi="Courier New" w:eastAsia="Courier New" w:cs="Courier New"/>
          <w:i w:val="0"/>
          <w:iCs w:val="0"/>
          <w:caps w:val="0"/>
          <w:color w:val="383838"/>
          <w:spacing w:val="0"/>
          <w:sz w:val="30"/>
          <w:szCs w:val="30"/>
          <w:shd w:val="clear" w:fill="FFFFFF"/>
        </w:rPr>
        <w:t>依法</w:t>
      </w:r>
      <w:r>
        <w:rPr>
          <w:rStyle w:val="8"/>
          <w:rFonts w:hint="eastAsia" w:ascii="Courier New" w:hAnsi="Courier New" w:eastAsia="宋体" w:cs="Courier New"/>
          <w:i w:val="0"/>
          <w:iCs w:val="0"/>
          <w:caps w:val="0"/>
          <w:color w:val="383838"/>
          <w:spacing w:val="0"/>
          <w:sz w:val="30"/>
          <w:szCs w:val="30"/>
          <w:shd w:val="clear" w:fill="FFFFFF"/>
          <w:lang w:eastAsia="zh-CN"/>
        </w:rPr>
        <w:t>审查委托诉讼代理人身份</w:t>
      </w:r>
      <w:r>
        <w:rPr>
          <w:rStyle w:val="8"/>
          <w:rFonts w:hint="default" w:ascii="Courier New" w:hAnsi="Courier New" w:eastAsia="Courier New" w:cs="Courier New"/>
          <w:i w:val="0"/>
          <w:iCs w:val="0"/>
          <w:caps w:val="0"/>
          <w:color w:val="383838"/>
          <w:spacing w:val="0"/>
          <w:sz w:val="30"/>
          <w:szCs w:val="30"/>
          <w:shd w:val="clear" w:fill="FFFFFF"/>
        </w:rPr>
        <w:t>，程序违法被发回重审：</w:t>
      </w:r>
      <w:r>
        <w:rPr>
          <w:rFonts w:hint="default" w:ascii="Courier New" w:hAnsi="Courier New" w:eastAsia="Courier New" w:cs="Courier New"/>
          <w:i w:val="0"/>
          <w:iCs w:val="0"/>
          <w:caps w:val="0"/>
          <w:color w:val="383838"/>
          <w:spacing w:val="0"/>
          <w:sz w:val="30"/>
          <w:szCs w:val="30"/>
          <w:shd w:val="clear" w:fill="FFFFFF"/>
        </w:rPr>
        <w:t>如</w:t>
      </w:r>
      <w:r>
        <w:rPr>
          <w:rFonts w:hint="eastAsia" w:ascii="仿宋" w:eastAsia="仿宋"/>
          <w:sz w:val="32"/>
        </w:rPr>
        <w:t>辽源市奇枫商贸有限责任公司</w:t>
      </w:r>
      <w:r>
        <w:rPr>
          <w:rFonts w:hint="eastAsia" w:ascii="仿宋" w:hAnsi="仿宋" w:eastAsia="仿宋"/>
          <w:sz w:val="32"/>
        </w:rPr>
        <w:t>因与</w:t>
      </w:r>
      <w:r>
        <w:rPr>
          <w:rFonts w:hint="eastAsia" w:ascii="仿宋" w:eastAsia="仿宋"/>
          <w:sz w:val="32"/>
        </w:rPr>
        <w:t>辽源市天兵保安服务有限公司合同纠纷</w:t>
      </w:r>
      <w:r>
        <w:rPr>
          <w:rFonts w:hint="eastAsia" w:ascii="仿宋" w:hAnsi="仿宋" w:eastAsia="仿宋"/>
          <w:sz w:val="32"/>
          <w:szCs w:val="32"/>
        </w:rPr>
        <w:t>一案</w:t>
      </w:r>
      <w:r>
        <w:rPr>
          <w:rFonts w:ascii="仿宋" w:hAnsi="仿宋" w:eastAsia="仿宋"/>
          <w:sz w:val="32"/>
          <w:szCs w:val="32"/>
        </w:rPr>
        <w:t>，</w:t>
      </w:r>
      <w:r>
        <w:rPr>
          <w:rFonts w:hint="eastAsia" w:ascii="仿宋" w:hAnsi="仿宋" w:eastAsia="仿宋"/>
          <w:sz w:val="32"/>
          <w:szCs w:val="32"/>
          <w:lang w:eastAsia="zh-CN"/>
        </w:rPr>
        <w:t>二审法院发回重审</w:t>
      </w:r>
      <w:r>
        <w:rPr>
          <w:rFonts w:hint="eastAsia" w:ascii="仿宋_GB2312" w:hAnsi="微软雅黑" w:eastAsia="仿宋_GB2312"/>
          <w:sz w:val="32"/>
        </w:rPr>
        <w:t>理由：</w:t>
      </w:r>
      <w:r>
        <w:rPr>
          <w:rFonts w:hint="eastAsia" w:ascii="仿宋" w:hAnsi="仿宋" w:eastAsia="仿宋"/>
          <w:sz w:val="32"/>
        </w:rPr>
        <w:t>一、关于本案委托诉讼代理人身份问题，根据《</w:t>
      </w:r>
      <w:r>
        <w:fldChar w:fldCharType="begin"/>
      </w:r>
      <w:r>
        <w:instrText xml:space="preserve"> HYPERLINK "http://135.0.0.202/document/show?collection=legislation&amp;aid=MTAxMDAxMjQyNjg%3D&amp;language=中文" \t "_blank" </w:instrText>
      </w:r>
      <w:r>
        <w:fldChar w:fldCharType="separate"/>
      </w:r>
      <w:r>
        <w:rPr>
          <w:rFonts w:hint="eastAsia" w:ascii="仿宋" w:hAnsi="仿宋" w:eastAsia="仿宋"/>
          <w:sz w:val="32"/>
        </w:rPr>
        <w:t>中华人民共和国民事诉讼法</w:t>
      </w:r>
      <w:r>
        <w:rPr>
          <w:rFonts w:hint="eastAsia" w:ascii="仿宋" w:hAnsi="仿宋" w:eastAsia="仿宋"/>
          <w:sz w:val="32"/>
        </w:rPr>
        <w:fldChar w:fldCharType="end"/>
      </w:r>
      <w:r>
        <w:rPr>
          <w:rFonts w:hint="eastAsia" w:ascii="仿宋" w:hAnsi="仿宋" w:eastAsia="仿宋"/>
          <w:sz w:val="32"/>
        </w:rPr>
        <w:t>》</w:t>
      </w:r>
      <w:r>
        <w:fldChar w:fldCharType="begin"/>
      </w:r>
      <w:r>
        <w:instrText xml:space="preserve"> HYPERLINK "http://135.0.0.202/document/show?collection=legislation&amp;aid=MTAxMDAxMjQyNjg%3D&amp;language=中文" \l "No225_Z5J2T58" \t "_blank" </w:instrText>
      </w:r>
      <w:r>
        <w:fldChar w:fldCharType="separate"/>
      </w:r>
      <w:r>
        <w:rPr>
          <w:rFonts w:hint="eastAsia" w:ascii="仿宋" w:hAnsi="仿宋" w:eastAsia="仿宋"/>
          <w:sz w:val="32"/>
        </w:rPr>
        <w:t>第五十八条</w:t>
      </w:r>
      <w:r>
        <w:rPr>
          <w:rFonts w:hint="eastAsia" w:ascii="仿宋" w:hAnsi="仿宋" w:eastAsia="仿宋"/>
          <w:sz w:val="32"/>
        </w:rPr>
        <w:fldChar w:fldCharType="end"/>
      </w:r>
      <w:r>
        <w:rPr>
          <w:rFonts w:hint="eastAsia" w:ascii="仿宋" w:hAnsi="仿宋" w:eastAsia="仿宋"/>
          <w:sz w:val="32"/>
        </w:rPr>
        <w:t>的规定，可以被委托为诉讼代理人的范围为：（一）律师、基层法律服务工作者；（二）当事人的近亲属或者工作人员；（三）当事人所在社区、单位以及有关社会团体推荐的公民。结合本案，首先，张金安自认与奇枫公司无劳动合同等用工证明，亦非奇枫公司股东；其次，张金安自述自2006年至今在奇枫公司工作，而已生效的（2019）吉0403刑初90号刑事判决书中确认其为无业人员。张金安在一审中作为奇枫公司的委托诉讼代理人，其是否与奇枫公司之间存在劳动关系或系公司股东决定了张金安能否作为奇枫公司的委托诉讼代理人，但一审法院未予审查；二、本案中，张金安无法提供奇枫公司法定代表人商玉梅的联系方式，且上诉时张金安所提交的上诉状及授权委托书均未加盖奇枫公司印章，其自述奇枫公司印章在其手中，但其并非奇枫公司的员工或股东，无法确定本案的起诉、上诉均为奇枫公司的真实意思表示。</w:t>
      </w:r>
      <w:r>
        <w:rPr>
          <w:rFonts w:hint="eastAsia" w:ascii="仿宋" w:hAnsi="仿宋" w:eastAsia="仿宋"/>
          <w:sz w:val="32"/>
          <w:lang w:eastAsia="zh-CN"/>
        </w:rPr>
        <w:t>故</w:t>
      </w:r>
      <w:r>
        <w:rPr>
          <w:rFonts w:hint="eastAsia" w:ascii="仿宋" w:hAnsi="仿宋" w:eastAsia="仿宋"/>
          <w:sz w:val="32"/>
        </w:rPr>
        <w:t>裁定</w:t>
      </w:r>
      <w:r>
        <w:rPr>
          <w:rFonts w:hint="eastAsia" w:ascii="仿宋" w:eastAsia="仿宋"/>
          <w:sz w:val="32"/>
        </w:rPr>
        <w:t>撤销（2021）吉0402民初344号民事判决</w:t>
      </w:r>
      <w:r>
        <w:rPr>
          <w:rFonts w:hint="eastAsia" w:ascii="仿宋" w:eastAsia="仿宋"/>
          <w:sz w:val="32"/>
          <w:lang w:eastAsia="zh-CN"/>
        </w:rPr>
        <w:t>，</w:t>
      </w:r>
      <w:r>
        <w:rPr>
          <w:rFonts w:hint="eastAsia" w:ascii="仿宋" w:eastAsia="仿宋"/>
          <w:sz w:val="32"/>
        </w:rPr>
        <w:t>本案发回重审。</w:t>
      </w:r>
    </w:p>
    <w:p>
      <w:pPr>
        <w:spacing w:line="500" w:lineRule="exact"/>
        <w:ind w:firstLine="600" w:firstLineChars="200"/>
        <w:rPr>
          <w:rFonts w:hint="eastAsia" w:ascii="仿宋_GB2312" w:eastAsia="仿宋_GB2312"/>
          <w:sz w:val="32"/>
        </w:rPr>
      </w:pPr>
      <w:r>
        <w:rPr>
          <w:rStyle w:val="8"/>
          <w:rFonts w:hint="default" w:ascii="Courier New" w:hAnsi="Courier New" w:eastAsia="Courier New" w:cs="Courier New"/>
          <w:i w:val="0"/>
          <w:iCs w:val="0"/>
          <w:caps w:val="0"/>
          <w:color w:val="383838"/>
          <w:spacing w:val="0"/>
          <w:sz w:val="30"/>
          <w:szCs w:val="30"/>
          <w:shd w:val="clear" w:fill="FFFFFF"/>
        </w:rPr>
        <w:t xml:space="preserve">  </w:t>
      </w:r>
      <w:r>
        <w:rPr>
          <w:rStyle w:val="8"/>
          <w:rFonts w:hint="eastAsia" w:ascii="Courier New" w:hAnsi="Courier New" w:eastAsia="宋体" w:cs="Courier New"/>
          <w:i w:val="0"/>
          <w:iCs w:val="0"/>
          <w:caps w:val="0"/>
          <w:color w:val="383838"/>
          <w:spacing w:val="0"/>
          <w:sz w:val="30"/>
          <w:szCs w:val="30"/>
          <w:shd w:val="clear" w:fill="FFFFFF"/>
          <w:lang w:eastAsia="zh-CN"/>
        </w:rPr>
        <w:t>（</w:t>
      </w:r>
      <w:r>
        <w:rPr>
          <w:rStyle w:val="8"/>
          <w:rFonts w:hint="eastAsia" w:ascii="Courier New" w:hAnsi="Courier New" w:eastAsia="宋体" w:cs="Courier New"/>
          <w:i w:val="0"/>
          <w:iCs w:val="0"/>
          <w:caps w:val="0"/>
          <w:color w:val="383838"/>
          <w:spacing w:val="0"/>
          <w:sz w:val="30"/>
          <w:szCs w:val="30"/>
          <w:shd w:val="clear" w:fill="FFFFFF"/>
          <w:lang w:val="en-US" w:eastAsia="zh-CN"/>
        </w:rPr>
        <w:t>2</w:t>
      </w:r>
      <w:r>
        <w:rPr>
          <w:rStyle w:val="8"/>
          <w:rFonts w:hint="eastAsia" w:ascii="Courier New" w:hAnsi="Courier New" w:eastAsia="宋体" w:cs="Courier New"/>
          <w:i w:val="0"/>
          <w:iCs w:val="0"/>
          <w:caps w:val="0"/>
          <w:color w:val="383838"/>
          <w:spacing w:val="0"/>
          <w:sz w:val="30"/>
          <w:szCs w:val="30"/>
          <w:shd w:val="clear" w:fill="FFFFFF"/>
          <w:lang w:eastAsia="zh-CN"/>
        </w:rPr>
        <w:t>）</w:t>
      </w:r>
      <w:r>
        <w:rPr>
          <w:rStyle w:val="8"/>
          <w:rFonts w:hint="default" w:ascii="Courier New" w:hAnsi="Courier New" w:eastAsia="Courier New" w:cs="Courier New"/>
          <w:i w:val="0"/>
          <w:iCs w:val="0"/>
          <w:caps w:val="0"/>
          <w:color w:val="383838"/>
          <w:spacing w:val="0"/>
          <w:sz w:val="30"/>
          <w:szCs w:val="30"/>
          <w:shd w:val="clear" w:fill="FFFFFF"/>
        </w:rPr>
        <w:t>因</w:t>
      </w:r>
      <w:r>
        <w:rPr>
          <w:rStyle w:val="8"/>
          <w:rFonts w:hint="eastAsia" w:ascii="Courier New" w:hAnsi="Courier New" w:eastAsia="Courier New" w:cs="Courier New"/>
          <w:i w:val="0"/>
          <w:iCs w:val="0"/>
          <w:caps w:val="0"/>
          <w:color w:val="383838"/>
          <w:spacing w:val="0"/>
          <w:sz w:val="30"/>
          <w:szCs w:val="30"/>
          <w:shd w:val="clear" w:fill="FFFFFF"/>
          <w:lang w:val="en-US" w:eastAsia="zh-CN"/>
        </w:rPr>
        <w:t>违法缺席审理，严重违法法定程序</w:t>
      </w:r>
      <w:r>
        <w:rPr>
          <w:rStyle w:val="8"/>
          <w:rFonts w:hint="default" w:ascii="Courier New" w:hAnsi="Courier New" w:eastAsia="Courier New" w:cs="Courier New"/>
          <w:i w:val="0"/>
          <w:iCs w:val="0"/>
          <w:caps w:val="0"/>
          <w:color w:val="383838"/>
          <w:spacing w:val="0"/>
          <w:sz w:val="30"/>
          <w:szCs w:val="30"/>
          <w:shd w:val="clear" w:fill="FFFFFF"/>
        </w:rPr>
        <w:t>被发回重审：</w:t>
      </w:r>
      <w:r>
        <w:rPr>
          <w:rFonts w:hint="default" w:ascii="仿宋_GB2312" w:eastAsia="仿宋_GB2312"/>
          <w:sz w:val="32"/>
        </w:rPr>
        <w:t>如</w:t>
      </w:r>
      <w:r>
        <w:rPr>
          <w:rFonts w:hint="eastAsia" w:ascii="仿宋_GB2312" w:eastAsia="仿宋_GB2312"/>
          <w:sz w:val="32"/>
          <w:lang w:val="en-US" w:eastAsia="zh-CN"/>
        </w:rPr>
        <w:t>（2019）吉0402民初2105号冯梦园与张香利、张香有、阳光财产保险股份有限公司辽源中心支公司、辽源市四通运输有限责任公司、别玉军机动车交通事故责任纠纷案、（2021）吉0402民初70号张国宏、李丽娜、冯梦园与辽源市四通运输有限责任公司、阳光财产保险股份有限公司辽源中心支公司、张香利、张香有机动车交通事故责任纠纷案、（2021）吉0402民初68号韩启源、王玉敏、冯梦园与辽源市四通运输有限责任公司、张香有、张香利、阳光财产保险股份有限公司机动车交通事故责任纠纷案、（2021）吉0402民初69号钱大海、宋维朴 冯梦园与辽源市四通运输有限责任公司、张香有、张香利、阳光财产保险股份有限公司辽源中心支公司机动车交通事故责任纠纷案</w:t>
      </w:r>
      <w:r>
        <w:rPr>
          <w:rFonts w:hint="default" w:ascii="仿宋_GB2312" w:eastAsia="仿宋_GB2312"/>
          <w:sz w:val="32"/>
        </w:rPr>
        <w:t>，</w:t>
      </w:r>
      <w:r>
        <w:rPr>
          <w:rFonts w:hint="eastAsia" w:ascii="仿宋_GB2312" w:eastAsia="仿宋_GB2312"/>
          <w:sz w:val="32"/>
          <w:lang w:eastAsia="zh-CN"/>
        </w:rPr>
        <w:t>二审法院认为</w:t>
      </w:r>
      <w:r>
        <w:rPr>
          <w:rFonts w:hint="eastAsia" w:ascii="仿宋_GB2312" w:eastAsia="仿宋_GB2312"/>
          <w:sz w:val="32"/>
        </w:rPr>
        <w:t>中级法院认为，一审法院未依法向张香利送达起诉状副本、应诉通知书、开庭传票等相关法律文书，违法缺席审理，剥夺了张香利的辩论权利，严重违反法定程序。</w:t>
      </w:r>
      <w:r>
        <w:rPr>
          <w:rFonts w:hint="eastAsia" w:ascii="仿宋_GB2312" w:eastAsia="仿宋_GB2312"/>
          <w:sz w:val="32"/>
          <w:lang w:eastAsia="zh-CN"/>
        </w:rPr>
        <w:t>故</w:t>
      </w:r>
      <w:r>
        <w:rPr>
          <w:rFonts w:hint="eastAsia" w:ascii="仿宋_GB2312" w:eastAsia="仿宋_GB2312"/>
          <w:sz w:val="32"/>
        </w:rPr>
        <w:t>裁定撤销</w:t>
      </w:r>
      <w:r>
        <w:rPr>
          <w:rFonts w:hint="eastAsia" w:ascii="仿宋_GB2312" w:eastAsia="仿宋_GB2312"/>
          <w:sz w:val="32"/>
          <w:lang w:eastAsia="zh-CN"/>
        </w:rPr>
        <w:t>本院</w:t>
      </w:r>
      <w:r>
        <w:rPr>
          <w:rFonts w:hint="eastAsia" w:ascii="仿宋_GB2312" w:eastAsia="仿宋_GB2312"/>
          <w:sz w:val="32"/>
        </w:rPr>
        <w:t>民事判决</w:t>
      </w:r>
      <w:r>
        <w:rPr>
          <w:rFonts w:hint="eastAsia" w:ascii="仿宋_GB2312" w:eastAsia="仿宋_GB2312"/>
          <w:sz w:val="32"/>
          <w:lang w:eastAsia="zh-CN"/>
        </w:rPr>
        <w:t>发回</w:t>
      </w:r>
      <w:r>
        <w:rPr>
          <w:rFonts w:hint="eastAsia" w:ascii="仿宋_GB2312" w:eastAsia="仿宋_GB2312"/>
          <w:sz w:val="32"/>
        </w:rPr>
        <w:t>重审。</w:t>
      </w:r>
    </w:p>
    <w:p>
      <w:pPr>
        <w:spacing w:line="500" w:lineRule="exact"/>
        <w:ind w:firstLine="643" w:firstLineChars="200"/>
        <w:rPr>
          <w:rFonts w:hint="eastAsia" w:ascii="仿宋_GB2312" w:eastAsia="仿宋_GB2312"/>
          <w:sz w:val="32"/>
          <w:lang w:val="en-US" w:eastAsia="zh-CN"/>
        </w:rPr>
      </w:pPr>
      <w:r>
        <w:rPr>
          <w:rFonts w:hint="eastAsia" w:ascii="宋体" w:hAnsi="宋体" w:eastAsia="宋体" w:cs="宋体"/>
          <w:b/>
          <w:bCs/>
          <w:sz w:val="32"/>
          <w:lang w:eastAsia="zh-CN"/>
        </w:rPr>
        <w:t>（</w:t>
      </w:r>
      <w:r>
        <w:rPr>
          <w:rFonts w:hint="eastAsia" w:ascii="宋体" w:hAnsi="宋体" w:eastAsia="宋体" w:cs="宋体"/>
          <w:b/>
          <w:bCs/>
          <w:sz w:val="32"/>
          <w:lang w:val="en-US" w:eastAsia="zh-CN"/>
        </w:rPr>
        <w:t>3</w:t>
      </w:r>
      <w:r>
        <w:rPr>
          <w:rFonts w:hint="eastAsia" w:ascii="宋体" w:hAnsi="宋体" w:eastAsia="宋体" w:cs="宋体"/>
          <w:b/>
          <w:bCs/>
          <w:sz w:val="32"/>
          <w:lang w:eastAsia="zh-CN"/>
        </w:rPr>
        <w:t>）送达程序违法，导致被发回重审。</w:t>
      </w:r>
      <w:r>
        <w:rPr>
          <w:rFonts w:hint="eastAsia" w:ascii="仿宋_GB2312" w:eastAsia="仿宋_GB2312"/>
          <w:sz w:val="32"/>
          <w:lang w:eastAsia="zh-CN"/>
        </w:rPr>
        <w:t>如</w:t>
      </w:r>
      <w:r>
        <w:rPr>
          <w:rFonts w:hint="eastAsia" w:eastAsia="仿宋_GB2312"/>
          <w:sz w:val="32"/>
          <w:szCs w:val="32"/>
        </w:rPr>
        <w:t>于德因与李跃文民间借贷纠纷</w:t>
      </w:r>
      <w:r>
        <w:rPr>
          <w:rFonts w:eastAsia="仿宋_GB2312"/>
          <w:sz w:val="32"/>
          <w:szCs w:val="32"/>
        </w:rPr>
        <w:t>一案</w:t>
      </w:r>
      <w:r>
        <w:rPr>
          <w:rFonts w:hint="eastAsia" w:eastAsia="仿宋_GB2312"/>
          <w:sz w:val="32"/>
          <w:szCs w:val="32"/>
          <w:lang w:eastAsia="zh-CN"/>
        </w:rPr>
        <w:t>，</w:t>
      </w:r>
      <w:r>
        <w:rPr>
          <w:rFonts w:hint="eastAsia" w:ascii="仿宋_GB2312" w:hAnsi="宋体" w:eastAsia="仿宋_GB2312"/>
          <w:sz w:val="32"/>
        </w:rPr>
        <w:t>《中华人民共和国民事诉讼法》第九十二条规定：“受送达人下落不明，或者用本节规定的其他方式无法送达的，公告送达。自发出公告之日起，经过六十日，即视为送达。公告送达，应当在案卷中记明原因和经过。”本案中，一审法院在公安机关调取的李跃文人口基本信息中，载明了李跃文所住的详细地址、使用的联系电话及其工作地址，能够通过直接送达、留置送达、邮寄送达等方式进行送达，一审法院未在受送达人李跃文下落不明的情形下使用公告送达程序违反了法律规定。</w:t>
      </w:r>
      <w:r>
        <w:rPr>
          <w:rFonts w:hint="eastAsia" w:ascii="仿宋_GB2312" w:hAnsi="宋体" w:eastAsia="仿宋_GB2312"/>
          <w:sz w:val="32"/>
          <w:lang w:eastAsia="zh-CN"/>
        </w:rPr>
        <w:t>二审法院以此为由发回重审。</w:t>
      </w:r>
    </w:p>
    <w:p>
      <w:pPr>
        <w:autoSpaceDE w:val="0"/>
        <w:autoSpaceDN w:val="0"/>
        <w:adjustRightInd w:val="0"/>
        <w:spacing w:line="500" w:lineRule="exact"/>
        <w:ind w:firstLine="640" w:firstLineChars="200"/>
        <w:rPr>
          <w:rFonts w:hint="eastAsia" w:ascii="仿宋_GB2312" w:eastAsia="仿宋_GB2312"/>
          <w:color w:val="000000"/>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宋体" w:hAnsi="宋体" w:eastAsia="宋体" w:cs="宋体"/>
          <w:b/>
          <w:bCs/>
          <w:sz w:val="32"/>
          <w:szCs w:val="32"/>
          <w:lang w:eastAsia="zh-CN"/>
        </w:rPr>
        <w:t>因二审发现被告人有其他相同的犯罪事实未并案审理，程序违法被发回重审</w:t>
      </w:r>
      <w:r>
        <w:rPr>
          <w:rFonts w:hint="eastAsia" w:ascii="仿宋_GB2312" w:eastAsia="仿宋_GB2312"/>
          <w:sz w:val="32"/>
          <w:szCs w:val="32"/>
          <w:lang w:eastAsia="zh-CN"/>
        </w:rPr>
        <w:t>。如</w:t>
      </w:r>
      <w:r>
        <w:rPr>
          <w:rFonts w:hint="eastAsia" w:ascii="仿宋_GB2312" w:eastAsia="仿宋_GB2312"/>
          <w:sz w:val="32"/>
          <w:szCs w:val="32"/>
        </w:rPr>
        <w:t>被告人</w:t>
      </w:r>
      <w:r>
        <w:rPr>
          <w:rFonts w:hint="eastAsia" w:ascii="仿宋_GB2312" w:hAnsi="宋体" w:eastAsia="仿宋_GB2312" w:cs="仿宋_GB2312"/>
          <w:sz w:val="32"/>
          <w:szCs w:val="32"/>
        </w:rPr>
        <w:t>沈而宏、刘利辉、章凤虹诈骗罪</w:t>
      </w:r>
      <w:r>
        <w:rPr>
          <w:rFonts w:hint="eastAsia" w:ascii="仿宋_GB2312" w:hAnsi="宋体" w:eastAsia="仿宋_GB2312"/>
          <w:sz w:val="32"/>
          <w:szCs w:val="32"/>
        </w:rPr>
        <w:t>一案</w:t>
      </w:r>
      <w:r>
        <w:rPr>
          <w:rFonts w:hint="eastAsia" w:ascii="仿宋_GB2312" w:eastAsia="仿宋_GB2312"/>
          <w:sz w:val="32"/>
          <w:szCs w:val="32"/>
        </w:rPr>
        <w:t>，</w:t>
      </w:r>
      <w:r>
        <w:rPr>
          <w:rFonts w:hint="eastAsia" w:ascii="仿宋_GB2312" w:eastAsia="仿宋_GB2312"/>
          <w:sz w:val="32"/>
          <w:szCs w:val="32"/>
          <w:lang w:eastAsia="zh-CN"/>
        </w:rPr>
        <w:t>二审法院</w:t>
      </w:r>
      <w:r>
        <w:rPr>
          <w:rFonts w:hint="eastAsia" w:ascii="仿宋_GB2312" w:eastAsia="仿宋_GB2312"/>
          <w:color w:val="000000"/>
          <w:sz w:val="32"/>
          <w:szCs w:val="32"/>
        </w:rPr>
        <w:t>发回重审的主要理由是二审审理期间，发现被告人沈而宏有其他相同的犯罪事实，应当并案审理，因此一审法院</w:t>
      </w:r>
      <w:r>
        <w:rPr>
          <w:rFonts w:hint="eastAsia" w:ascii="仿宋_GB2312" w:eastAsia="仿宋_GB2312"/>
          <w:sz w:val="32"/>
        </w:rPr>
        <w:t>属程序违法</w:t>
      </w:r>
      <w:r>
        <w:rPr>
          <w:rFonts w:hint="eastAsia" w:ascii="仿宋_GB2312" w:eastAsia="仿宋_GB2312"/>
          <w:sz w:val="32"/>
          <w:szCs w:val="32"/>
        </w:rPr>
        <w:t>，</w:t>
      </w:r>
      <w:r>
        <w:rPr>
          <w:rFonts w:hint="eastAsia" w:ascii="仿宋_GB2312" w:eastAsia="仿宋_GB2312"/>
          <w:color w:val="000000"/>
          <w:sz w:val="32"/>
          <w:szCs w:val="32"/>
        </w:rPr>
        <w:t>故发回重审</w:t>
      </w:r>
      <w:r>
        <w:rPr>
          <w:rFonts w:hint="eastAsia" w:ascii="仿宋_GB2312" w:eastAsia="仿宋_GB2312"/>
          <w:color w:val="000000"/>
          <w:sz w:val="32"/>
          <w:szCs w:val="32"/>
          <w:lang w:eastAsia="zh-CN"/>
        </w:rPr>
        <w:t>。</w:t>
      </w:r>
    </w:p>
    <w:p>
      <w:pPr>
        <w:spacing w:line="560" w:lineRule="exact"/>
        <w:ind w:firstLine="640" w:firstLineChars="200"/>
        <w:rPr>
          <w:rFonts w:hint="eastAsia" w:ascii="仿宋" w:hAnsi="仿宋" w:eastAsia="仿宋"/>
          <w:sz w:val="32"/>
        </w:rPr>
      </w:pPr>
      <w:r>
        <w:rPr>
          <w:rFonts w:hint="eastAsia" w:ascii="仿宋_GB2312" w:eastAsia="仿宋_GB2312"/>
          <w:color w:val="000000"/>
          <w:sz w:val="32"/>
          <w:szCs w:val="32"/>
          <w:lang w:val="en-US" w:eastAsia="zh-CN"/>
        </w:rPr>
        <w:t>3.</w:t>
      </w:r>
      <w:r>
        <w:rPr>
          <w:rFonts w:hint="eastAsia" w:ascii="宋体" w:hAnsi="宋体" w:eastAsia="宋体" w:cs="宋体"/>
          <w:b/>
          <w:bCs/>
          <w:color w:val="000000"/>
          <w:sz w:val="32"/>
          <w:szCs w:val="32"/>
          <w:lang w:val="en-US" w:eastAsia="zh-CN"/>
        </w:rPr>
        <w:t>有新证据</w:t>
      </w:r>
      <w:r>
        <w:rPr>
          <w:rFonts w:hint="eastAsia" w:ascii="宋体" w:hAnsi="宋体" w:eastAsia="宋体" w:cs="宋体"/>
          <w:b/>
          <w:bCs/>
          <w:sz w:val="32"/>
        </w:rPr>
        <w:t>致使案件事实发生变化</w:t>
      </w:r>
      <w:r>
        <w:rPr>
          <w:rFonts w:hint="eastAsia" w:ascii="宋体" w:hAnsi="宋体" w:eastAsia="宋体" w:cs="宋体"/>
          <w:b/>
          <w:bCs/>
          <w:sz w:val="32"/>
          <w:lang w:eastAsia="zh-CN"/>
        </w:rPr>
        <w:t>，发回重审</w:t>
      </w:r>
      <w:r>
        <w:rPr>
          <w:rFonts w:hint="eastAsia" w:ascii="宋体" w:hAnsi="宋体" w:eastAsia="宋体" w:cs="宋体"/>
          <w:sz w:val="32"/>
          <w:lang w:eastAsia="zh-CN"/>
        </w:rPr>
        <w:t>。</w:t>
      </w:r>
      <w:r>
        <w:rPr>
          <w:rFonts w:hint="eastAsia" w:ascii="仿宋" w:hAnsi="仿宋" w:eastAsia="仿宋"/>
          <w:sz w:val="32"/>
          <w:lang w:eastAsia="zh-CN"/>
        </w:rPr>
        <w:t>如</w:t>
      </w:r>
      <w:r>
        <w:rPr>
          <w:rFonts w:hint="eastAsia" w:ascii="黑体" w:hAnsi="黑体" w:eastAsia="黑体"/>
          <w:sz w:val="36"/>
          <w:szCs w:val="36"/>
        </w:rPr>
        <w:t>被告人崔峻铭、刘健鹰、高宇犯开设赌场罪一案</w:t>
      </w:r>
      <w:r>
        <w:rPr>
          <w:rFonts w:hint="eastAsia" w:ascii="黑体" w:hAnsi="黑体" w:eastAsia="黑体"/>
          <w:sz w:val="36"/>
          <w:szCs w:val="36"/>
          <w:lang w:eastAsia="zh-CN"/>
        </w:rPr>
        <w:t>，</w:t>
      </w:r>
      <w:r>
        <w:rPr>
          <w:rFonts w:hint="eastAsia" w:ascii="仿宋" w:hAnsi="仿宋" w:eastAsia="仿宋"/>
          <w:sz w:val="32"/>
        </w:rPr>
        <w:t>该案原审被告人崔峻铭、高宇在上诉以后均提交了立功材料，属于有新的证据致使案件事实发生变化，故虽发回重审，但本案不应认定为错案。但一审时三被告人认罪认罚，检察机关出具量刑建议，一审法院如认为量刑建议不当，应按规定在开庭前书面通知人民检察院，人民检察院不同意调整量刑建议或者调整量刑建议后仍然明显不当的，应依法作出判决。但一审卷宗内材料未体现出具了通知，存在些许瑕疵，今后应加以完善。</w:t>
      </w:r>
    </w:p>
    <w:p>
      <w:pPr>
        <w:spacing w:line="560" w:lineRule="exact"/>
        <w:ind w:firstLine="643" w:firstLineChars="200"/>
        <w:rPr>
          <w:rFonts w:hint="eastAsia" w:ascii="仿宋" w:hAnsi="仿宋" w:eastAsia="仿宋"/>
          <w:sz w:val="32"/>
          <w:lang w:val="en-US" w:eastAsia="zh-CN"/>
        </w:rPr>
      </w:pPr>
      <w:r>
        <w:rPr>
          <w:rFonts w:hint="eastAsia" w:ascii="宋体" w:hAnsi="宋体" w:eastAsia="宋体" w:cs="宋体"/>
          <w:b/>
          <w:bCs/>
          <w:sz w:val="32"/>
          <w:lang w:val="en-US" w:eastAsia="zh-CN"/>
        </w:rPr>
        <w:t>4.因违反审判组织的规定，导致发回重审。</w:t>
      </w:r>
      <w:r>
        <w:rPr>
          <w:rFonts w:hint="eastAsia" w:ascii="仿宋" w:hAnsi="仿宋" w:eastAsia="仿宋"/>
          <w:sz w:val="32"/>
          <w:lang w:val="en-US" w:eastAsia="zh-CN"/>
        </w:rPr>
        <w:t>如</w:t>
      </w:r>
      <w:r>
        <w:rPr>
          <w:rFonts w:hint="eastAsia" w:ascii="仿宋" w:hAnsi="仿宋" w:eastAsia="仿宋" w:cstheme="minorBidi"/>
          <w:sz w:val="32"/>
          <w:szCs w:val="32"/>
        </w:rPr>
        <w:t>吉林省龙腾房地产开发集团有限公司诉国家税务局辽源市税务局第一稽查局行政处罚一案</w:t>
      </w:r>
      <w:r>
        <w:rPr>
          <w:rFonts w:hint="eastAsia" w:ascii="仿宋" w:hAnsi="仿宋" w:eastAsia="仿宋" w:cstheme="minorBidi"/>
          <w:sz w:val="32"/>
          <w:szCs w:val="32"/>
          <w:lang w:eastAsia="zh-CN"/>
        </w:rPr>
        <w:t>，根据</w:t>
      </w:r>
      <w:r>
        <w:rPr>
          <w:rFonts w:hint="eastAsia" w:ascii="仿宋" w:hAnsi="仿宋" w:eastAsia="仿宋"/>
          <w:sz w:val="32"/>
        </w:rPr>
        <w:t>《中华人民共和国行政诉讼法》第八十二条规定：“</w:t>
      </w:r>
      <w:r>
        <w:rPr>
          <w:rFonts w:ascii="仿宋" w:hAnsi="仿宋" w:eastAsia="仿宋"/>
          <w:sz w:val="32"/>
        </w:rPr>
        <w:t>人民法院审理下列第一审行政案件，认为事实清楚、权利义务关系明确、争议不大的，可以适用简易程序：（一）被诉行政行为是依法当场作出的； （二）案件涉及款额二千元以下的； （三）属于政府信息公开案件的。 除前款规定以外的第一审行政案件，当事人各方同意适用简易程序的，可以适用简易程序。发回重审、按照审判监督程序再审的案件不适用简易程序。</w:t>
      </w:r>
      <w:r>
        <w:rPr>
          <w:rFonts w:hint="eastAsia" w:ascii="仿宋" w:hAnsi="仿宋" w:eastAsia="仿宋"/>
          <w:sz w:val="32"/>
        </w:rPr>
        <w:t>”本案中，案涉行政处罚并非当场作出，且行政处罚法金额已超出二千元，在一审审理期间，一审法院并未询问双方当事人是否同意适用简易程序，便直接按简易程序进行审理，违反上述法律规定。</w:t>
      </w:r>
      <w:r>
        <w:rPr>
          <w:rFonts w:hint="eastAsia" w:ascii="仿宋" w:hAnsi="仿宋" w:eastAsia="仿宋"/>
          <w:sz w:val="32"/>
          <w:lang w:eastAsia="zh-CN"/>
        </w:rPr>
        <w:t>二审法院以此为由发回重审。</w:t>
      </w:r>
    </w:p>
    <w:p>
      <w:pPr>
        <w:autoSpaceDE w:val="0"/>
        <w:autoSpaceDN w:val="0"/>
        <w:adjustRightInd w:val="0"/>
        <w:spacing w:line="500" w:lineRule="exact"/>
        <w:ind w:firstLine="640" w:firstLineChars="200"/>
        <w:rPr>
          <w:rFonts w:hint="default" w:ascii="仿宋_GB2312" w:eastAsia="仿宋_GB2312"/>
          <w:color w:val="000000"/>
          <w:sz w:val="32"/>
          <w:szCs w:val="32"/>
          <w:lang w:val="en-US" w:eastAsia="zh-CN"/>
        </w:rPr>
      </w:pPr>
    </w:p>
    <w:p>
      <w:pPr>
        <w:numPr>
          <w:ilvl w:val="0"/>
          <w:numId w:val="1"/>
        </w:numPr>
        <w:ind w:left="410" w:leftChars="0" w:firstLine="640" w:firstLineChars="0"/>
        <w:rPr>
          <w:rFonts w:hint="default" w:ascii="Courier New" w:hAnsi="Courier New" w:eastAsia="Courier New" w:cs="Courier New"/>
          <w:i w:val="0"/>
          <w:iCs w:val="0"/>
          <w:caps w:val="0"/>
          <w:color w:val="383838"/>
          <w:spacing w:val="0"/>
          <w:sz w:val="30"/>
          <w:szCs w:val="30"/>
          <w:shd w:val="clear" w:fill="FFFFFF"/>
        </w:rPr>
      </w:pPr>
      <w:r>
        <w:rPr>
          <w:rFonts w:hint="eastAsia" w:ascii="Courier New" w:hAnsi="Courier New" w:eastAsia="宋体" w:cs="Courier New"/>
          <w:i w:val="0"/>
          <w:iCs w:val="0"/>
          <w:caps w:val="0"/>
          <w:color w:val="383838"/>
          <w:spacing w:val="0"/>
          <w:sz w:val="30"/>
          <w:szCs w:val="30"/>
          <w:shd w:val="clear" w:fill="FFFFFF"/>
          <w:lang w:eastAsia="zh-CN"/>
        </w:rPr>
        <w:t>再审案件</w:t>
      </w:r>
      <w:r>
        <w:rPr>
          <w:rFonts w:hint="default" w:ascii="Courier New" w:hAnsi="Courier New" w:eastAsia="Courier New" w:cs="Courier New"/>
          <w:i w:val="0"/>
          <w:iCs w:val="0"/>
          <w:caps w:val="0"/>
          <w:color w:val="383838"/>
          <w:spacing w:val="0"/>
          <w:sz w:val="30"/>
          <w:szCs w:val="30"/>
          <w:shd w:val="clear" w:fill="FFFFFF"/>
        </w:rPr>
        <w:t>。</w:t>
      </w:r>
    </w:p>
    <w:p>
      <w:pPr>
        <w:numPr>
          <w:ilvl w:val="0"/>
          <w:numId w:val="0"/>
        </w:numPr>
        <w:ind w:left="1050" w:leftChars="0"/>
        <w:rPr>
          <w:rFonts w:hint="eastAsia" w:ascii="Courier New" w:hAnsi="Courier New" w:eastAsia="宋体" w:cs="Courier New"/>
          <w:i w:val="0"/>
          <w:iCs w:val="0"/>
          <w:caps w:val="0"/>
          <w:color w:val="383838"/>
          <w:spacing w:val="0"/>
          <w:sz w:val="30"/>
          <w:szCs w:val="30"/>
          <w:shd w:val="clear" w:fill="FFFFFF"/>
          <w:lang w:val="en-US" w:eastAsia="zh-CN"/>
        </w:rPr>
      </w:pPr>
      <w:r>
        <w:rPr>
          <w:rFonts w:hint="eastAsia" w:ascii="Courier New" w:hAnsi="Courier New" w:eastAsia="宋体" w:cs="Courier New"/>
          <w:i w:val="0"/>
          <w:iCs w:val="0"/>
          <w:caps w:val="0"/>
          <w:color w:val="383838"/>
          <w:spacing w:val="0"/>
          <w:sz w:val="30"/>
          <w:szCs w:val="30"/>
          <w:shd w:val="clear" w:fill="FFFFFF"/>
          <w:lang w:val="en-US" w:eastAsia="zh-CN"/>
        </w:rPr>
        <w:t>总体情况：2021年</w:t>
      </w:r>
      <w:r>
        <w:rPr>
          <w:rFonts w:hint="eastAsia" w:ascii="Courier New" w:hAnsi="Courier New" w:eastAsia="宋体" w:cs="Courier New"/>
          <w:i w:val="0"/>
          <w:iCs w:val="0"/>
          <w:caps w:val="0"/>
          <w:color w:val="383838"/>
          <w:spacing w:val="0"/>
          <w:sz w:val="30"/>
          <w:szCs w:val="30"/>
          <w:shd w:val="clear" w:fill="FFFFFF"/>
          <w:lang w:eastAsia="zh-CN"/>
        </w:rPr>
        <w:t>本院再审审查案件</w:t>
      </w:r>
      <w:r>
        <w:rPr>
          <w:rFonts w:hint="eastAsia" w:ascii="Courier New" w:hAnsi="Courier New" w:eastAsia="宋体" w:cs="Courier New"/>
          <w:i w:val="0"/>
          <w:iCs w:val="0"/>
          <w:caps w:val="0"/>
          <w:color w:val="383838"/>
          <w:spacing w:val="0"/>
          <w:sz w:val="30"/>
          <w:szCs w:val="30"/>
          <w:shd w:val="clear" w:fill="FFFFFF"/>
          <w:lang w:val="en-US" w:eastAsia="zh-CN"/>
        </w:rPr>
        <w:t>7件，其中行监2件、刑监2件、民监3件。其中检察院再审检察建议5件，不予受理4件，启动再审程序1件，为许海峰诉张国玲、何乃鹏民间借贷纠纷案，再审原因为事实认定不清，送达程序违法，张国玲与何乃鹏在诉讼之前已经离婚，原审将起诉状、传票等法律文书送达给何乃鹏、何乃鹏代收张国玲的法律文书，在二人未到庭参加诉讼的情况下，缺席审理；刑事案件2件，为我院决定再审案件，柳杨收购赃物案、单艳秋容留卖淫案。</w:t>
      </w:r>
    </w:p>
    <w:p>
      <w:pPr>
        <w:numPr>
          <w:ilvl w:val="0"/>
          <w:numId w:val="0"/>
        </w:numPr>
        <w:ind w:left="1050" w:leftChars="0"/>
        <w:rPr>
          <w:rFonts w:hint="default" w:ascii="Courier New" w:hAnsi="Courier New" w:eastAsia="宋体" w:cs="Courier New"/>
          <w:i w:val="0"/>
          <w:iCs w:val="0"/>
          <w:caps w:val="0"/>
          <w:color w:val="383838"/>
          <w:spacing w:val="0"/>
          <w:sz w:val="30"/>
          <w:szCs w:val="30"/>
          <w:shd w:val="clear" w:fill="FFFFFF"/>
          <w:lang w:val="en-US" w:eastAsia="zh-CN"/>
        </w:rPr>
      </w:pPr>
      <w:r>
        <w:rPr>
          <w:rFonts w:hint="eastAsia" w:ascii="Courier New" w:hAnsi="Courier New" w:eastAsia="宋体" w:cs="Courier New"/>
          <w:i w:val="0"/>
          <w:iCs w:val="0"/>
          <w:caps w:val="0"/>
          <w:color w:val="383838"/>
          <w:spacing w:val="0"/>
          <w:sz w:val="30"/>
          <w:szCs w:val="30"/>
          <w:shd w:val="clear" w:fill="FFFFFF"/>
          <w:lang w:val="en-US" w:eastAsia="zh-CN"/>
        </w:rPr>
        <w:t>再审案件</w:t>
      </w:r>
    </w:p>
    <w:p>
      <w:pPr>
        <w:ind w:left="420" w:leftChars="200" w:firstLine="640" w:firstLineChars="200"/>
        <w:jc w:val="righ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88F0A"/>
    <w:multiLevelType w:val="singleLevel"/>
    <w:tmpl w:val="C8D88F0A"/>
    <w:lvl w:ilvl="0" w:tentative="0">
      <w:start w:val="1"/>
      <w:numFmt w:val="chineseCounting"/>
      <w:suff w:val="nothing"/>
      <w:lvlText w:val="%1、"/>
      <w:lvlJc w:val="left"/>
      <w:pPr>
        <w:ind w:left="4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7F"/>
    <w:rsid w:val="00001A12"/>
    <w:rsid w:val="000048CF"/>
    <w:rsid w:val="0000682A"/>
    <w:rsid w:val="000077AA"/>
    <w:rsid w:val="0001085D"/>
    <w:rsid w:val="00012783"/>
    <w:rsid w:val="00013E98"/>
    <w:rsid w:val="00015D8C"/>
    <w:rsid w:val="00022A41"/>
    <w:rsid w:val="000268A3"/>
    <w:rsid w:val="000269CC"/>
    <w:rsid w:val="00026AC0"/>
    <w:rsid w:val="00027E24"/>
    <w:rsid w:val="00036A54"/>
    <w:rsid w:val="00043811"/>
    <w:rsid w:val="0004528B"/>
    <w:rsid w:val="00046518"/>
    <w:rsid w:val="00054FBB"/>
    <w:rsid w:val="00056188"/>
    <w:rsid w:val="00056C2C"/>
    <w:rsid w:val="00060831"/>
    <w:rsid w:val="00060D7D"/>
    <w:rsid w:val="000650B3"/>
    <w:rsid w:val="00065CAB"/>
    <w:rsid w:val="000664B8"/>
    <w:rsid w:val="00070207"/>
    <w:rsid w:val="00071076"/>
    <w:rsid w:val="000747E9"/>
    <w:rsid w:val="000754E8"/>
    <w:rsid w:val="00077373"/>
    <w:rsid w:val="00080BF4"/>
    <w:rsid w:val="00083575"/>
    <w:rsid w:val="000879B7"/>
    <w:rsid w:val="0009193A"/>
    <w:rsid w:val="0009253D"/>
    <w:rsid w:val="00094A8E"/>
    <w:rsid w:val="00095605"/>
    <w:rsid w:val="00095AB7"/>
    <w:rsid w:val="00095C68"/>
    <w:rsid w:val="000969CF"/>
    <w:rsid w:val="000A0C52"/>
    <w:rsid w:val="000A0F95"/>
    <w:rsid w:val="000A56EF"/>
    <w:rsid w:val="000B6021"/>
    <w:rsid w:val="000C3ED7"/>
    <w:rsid w:val="000C76A8"/>
    <w:rsid w:val="000D0A63"/>
    <w:rsid w:val="000D1712"/>
    <w:rsid w:val="000E3C86"/>
    <w:rsid w:val="000E609A"/>
    <w:rsid w:val="000F10CC"/>
    <w:rsid w:val="000F279E"/>
    <w:rsid w:val="000F55D1"/>
    <w:rsid w:val="000F63C7"/>
    <w:rsid w:val="000F749D"/>
    <w:rsid w:val="000F7EBE"/>
    <w:rsid w:val="00100D44"/>
    <w:rsid w:val="00104118"/>
    <w:rsid w:val="00105857"/>
    <w:rsid w:val="00106C4F"/>
    <w:rsid w:val="00107F04"/>
    <w:rsid w:val="001208F4"/>
    <w:rsid w:val="00122251"/>
    <w:rsid w:val="001223A3"/>
    <w:rsid w:val="001266E1"/>
    <w:rsid w:val="001273AB"/>
    <w:rsid w:val="00127ADA"/>
    <w:rsid w:val="00130332"/>
    <w:rsid w:val="001338D8"/>
    <w:rsid w:val="00134D5D"/>
    <w:rsid w:val="001350C0"/>
    <w:rsid w:val="0013637D"/>
    <w:rsid w:val="00136F3B"/>
    <w:rsid w:val="00144C6F"/>
    <w:rsid w:val="0014697E"/>
    <w:rsid w:val="00146BF2"/>
    <w:rsid w:val="00147242"/>
    <w:rsid w:val="0015462F"/>
    <w:rsid w:val="001547A4"/>
    <w:rsid w:val="00157E01"/>
    <w:rsid w:val="0016325A"/>
    <w:rsid w:val="00163B04"/>
    <w:rsid w:val="00165101"/>
    <w:rsid w:val="00170049"/>
    <w:rsid w:val="001701B0"/>
    <w:rsid w:val="001772A2"/>
    <w:rsid w:val="0017733B"/>
    <w:rsid w:val="001779E6"/>
    <w:rsid w:val="00180A09"/>
    <w:rsid w:val="0018336F"/>
    <w:rsid w:val="001856A2"/>
    <w:rsid w:val="00186930"/>
    <w:rsid w:val="00191F1A"/>
    <w:rsid w:val="00195BBC"/>
    <w:rsid w:val="001A2222"/>
    <w:rsid w:val="001A2F95"/>
    <w:rsid w:val="001A3894"/>
    <w:rsid w:val="001A4682"/>
    <w:rsid w:val="001A53EA"/>
    <w:rsid w:val="001A5CB6"/>
    <w:rsid w:val="001C1215"/>
    <w:rsid w:val="001C2923"/>
    <w:rsid w:val="001D1C01"/>
    <w:rsid w:val="001D57D8"/>
    <w:rsid w:val="001D645C"/>
    <w:rsid w:val="001D6650"/>
    <w:rsid w:val="001D66B8"/>
    <w:rsid w:val="001D7167"/>
    <w:rsid w:val="001D7CE8"/>
    <w:rsid w:val="001E0077"/>
    <w:rsid w:val="001E19A8"/>
    <w:rsid w:val="001E4980"/>
    <w:rsid w:val="001F2ABB"/>
    <w:rsid w:val="001F39B2"/>
    <w:rsid w:val="001F45D8"/>
    <w:rsid w:val="001F46CE"/>
    <w:rsid w:val="001F4942"/>
    <w:rsid w:val="001F49F7"/>
    <w:rsid w:val="001F533B"/>
    <w:rsid w:val="00201CBD"/>
    <w:rsid w:val="0020232B"/>
    <w:rsid w:val="002030F7"/>
    <w:rsid w:val="0020408D"/>
    <w:rsid w:val="002051EF"/>
    <w:rsid w:val="00207DCA"/>
    <w:rsid w:val="002170E3"/>
    <w:rsid w:val="00221E04"/>
    <w:rsid w:val="002257BA"/>
    <w:rsid w:val="002274F0"/>
    <w:rsid w:val="002315CD"/>
    <w:rsid w:val="00232467"/>
    <w:rsid w:val="0023478E"/>
    <w:rsid w:val="00234B0A"/>
    <w:rsid w:val="00234D72"/>
    <w:rsid w:val="0024328E"/>
    <w:rsid w:val="002446AF"/>
    <w:rsid w:val="00244867"/>
    <w:rsid w:val="00256F0C"/>
    <w:rsid w:val="00257CF6"/>
    <w:rsid w:val="00265AA6"/>
    <w:rsid w:val="00267A7B"/>
    <w:rsid w:val="0027063A"/>
    <w:rsid w:val="0027107D"/>
    <w:rsid w:val="00271A16"/>
    <w:rsid w:val="0027390D"/>
    <w:rsid w:val="00274F4D"/>
    <w:rsid w:val="00282201"/>
    <w:rsid w:val="002822B1"/>
    <w:rsid w:val="00285230"/>
    <w:rsid w:val="00287172"/>
    <w:rsid w:val="00290BF9"/>
    <w:rsid w:val="0029165E"/>
    <w:rsid w:val="0029212C"/>
    <w:rsid w:val="00293F25"/>
    <w:rsid w:val="00294B72"/>
    <w:rsid w:val="002A2485"/>
    <w:rsid w:val="002A408B"/>
    <w:rsid w:val="002A7C2D"/>
    <w:rsid w:val="002B13AB"/>
    <w:rsid w:val="002B2766"/>
    <w:rsid w:val="002B2FC5"/>
    <w:rsid w:val="002B696A"/>
    <w:rsid w:val="002C1C3F"/>
    <w:rsid w:val="002C1C8A"/>
    <w:rsid w:val="002C534B"/>
    <w:rsid w:val="002C7C35"/>
    <w:rsid w:val="002D22C2"/>
    <w:rsid w:val="002D2714"/>
    <w:rsid w:val="002D38C9"/>
    <w:rsid w:val="002D519A"/>
    <w:rsid w:val="002E06CF"/>
    <w:rsid w:val="002E513E"/>
    <w:rsid w:val="002F2153"/>
    <w:rsid w:val="002F2566"/>
    <w:rsid w:val="002F2AFC"/>
    <w:rsid w:val="002F4440"/>
    <w:rsid w:val="002F7124"/>
    <w:rsid w:val="00300543"/>
    <w:rsid w:val="00301ED5"/>
    <w:rsid w:val="00302DED"/>
    <w:rsid w:val="003040E7"/>
    <w:rsid w:val="0030543D"/>
    <w:rsid w:val="00306039"/>
    <w:rsid w:val="0031073D"/>
    <w:rsid w:val="003109F3"/>
    <w:rsid w:val="003117FB"/>
    <w:rsid w:val="00315C6F"/>
    <w:rsid w:val="00317A39"/>
    <w:rsid w:val="00322416"/>
    <w:rsid w:val="003224E0"/>
    <w:rsid w:val="00323DDF"/>
    <w:rsid w:val="00326960"/>
    <w:rsid w:val="00331101"/>
    <w:rsid w:val="00331441"/>
    <w:rsid w:val="003325C3"/>
    <w:rsid w:val="00333406"/>
    <w:rsid w:val="0033490A"/>
    <w:rsid w:val="00335BB5"/>
    <w:rsid w:val="003360DF"/>
    <w:rsid w:val="0034083F"/>
    <w:rsid w:val="0034097E"/>
    <w:rsid w:val="00340A2F"/>
    <w:rsid w:val="0034146D"/>
    <w:rsid w:val="003429D1"/>
    <w:rsid w:val="00344055"/>
    <w:rsid w:val="003478A0"/>
    <w:rsid w:val="00347FC8"/>
    <w:rsid w:val="003511AB"/>
    <w:rsid w:val="003519A5"/>
    <w:rsid w:val="00351DF3"/>
    <w:rsid w:val="003557F4"/>
    <w:rsid w:val="00362351"/>
    <w:rsid w:val="00362FE2"/>
    <w:rsid w:val="00366E14"/>
    <w:rsid w:val="00366E85"/>
    <w:rsid w:val="00367065"/>
    <w:rsid w:val="00367FAD"/>
    <w:rsid w:val="003708D6"/>
    <w:rsid w:val="00370FE8"/>
    <w:rsid w:val="00371F67"/>
    <w:rsid w:val="00376A1D"/>
    <w:rsid w:val="00386666"/>
    <w:rsid w:val="0038708F"/>
    <w:rsid w:val="003910F0"/>
    <w:rsid w:val="0039274C"/>
    <w:rsid w:val="003936B6"/>
    <w:rsid w:val="00393A5F"/>
    <w:rsid w:val="00397A1A"/>
    <w:rsid w:val="003A3FCE"/>
    <w:rsid w:val="003A6098"/>
    <w:rsid w:val="003B780F"/>
    <w:rsid w:val="003C75ED"/>
    <w:rsid w:val="003D0EE4"/>
    <w:rsid w:val="003D0F85"/>
    <w:rsid w:val="003D137F"/>
    <w:rsid w:val="003D32FF"/>
    <w:rsid w:val="003D45B9"/>
    <w:rsid w:val="003D5886"/>
    <w:rsid w:val="003D5B64"/>
    <w:rsid w:val="003D6974"/>
    <w:rsid w:val="003D6CBF"/>
    <w:rsid w:val="003D7C3B"/>
    <w:rsid w:val="003E1DEA"/>
    <w:rsid w:val="003E5FF9"/>
    <w:rsid w:val="003E6518"/>
    <w:rsid w:val="003E709E"/>
    <w:rsid w:val="003E7BD4"/>
    <w:rsid w:val="003F03FC"/>
    <w:rsid w:val="003F1204"/>
    <w:rsid w:val="003F1853"/>
    <w:rsid w:val="00412D7C"/>
    <w:rsid w:val="004138E8"/>
    <w:rsid w:val="00414738"/>
    <w:rsid w:val="0042037F"/>
    <w:rsid w:val="004204EE"/>
    <w:rsid w:val="00420580"/>
    <w:rsid w:val="004256D8"/>
    <w:rsid w:val="00426614"/>
    <w:rsid w:val="0043326A"/>
    <w:rsid w:val="004342E2"/>
    <w:rsid w:val="004354D5"/>
    <w:rsid w:val="00440674"/>
    <w:rsid w:val="00443CDE"/>
    <w:rsid w:val="0044444C"/>
    <w:rsid w:val="004501C6"/>
    <w:rsid w:val="00450A85"/>
    <w:rsid w:val="00450A92"/>
    <w:rsid w:val="00450F8A"/>
    <w:rsid w:val="00451F75"/>
    <w:rsid w:val="00454B02"/>
    <w:rsid w:val="00455D5E"/>
    <w:rsid w:val="00457315"/>
    <w:rsid w:val="00465253"/>
    <w:rsid w:val="004662DB"/>
    <w:rsid w:val="0046643B"/>
    <w:rsid w:val="0047109D"/>
    <w:rsid w:val="004738B9"/>
    <w:rsid w:val="00474485"/>
    <w:rsid w:val="00476788"/>
    <w:rsid w:val="00484B8B"/>
    <w:rsid w:val="00485B1F"/>
    <w:rsid w:val="00486029"/>
    <w:rsid w:val="00487AF2"/>
    <w:rsid w:val="004915A4"/>
    <w:rsid w:val="00492918"/>
    <w:rsid w:val="0049316E"/>
    <w:rsid w:val="004A369F"/>
    <w:rsid w:val="004A46A4"/>
    <w:rsid w:val="004A4E42"/>
    <w:rsid w:val="004B37B9"/>
    <w:rsid w:val="004B382E"/>
    <w:rsid w:val="004B4285"/>
    <w:rsid w:val="004B6C7D"/>
    <w:rsid w:val="004B7664"/>
    <w:rsid w:val="004C0A28"/>
    <w:rsid w:val="004C2AFE"/>
    <w:rsid w:val="004C420A"/>
    <w:rsid w:val="004D0244"/>
    <w:rsid w:val="004D2FD0"/>
    <w:rsid w:val="004E0413"/>
    <w:rsid w:val="004E1F6D"/>
    <w:rsid w:val="004E481B"/>
    <w:rsid w:val="004F12FD"/>
    <w:rsid w:val="004F2011"/>
    <w:rsid w:val="004F270A"/>
    <w:rsid w:val="00501C34"/>
    <w:rsid w:val="00504A65"/>
    <w:rsid w:val="00510C16"/>
    <w:rsid w:val="005111B9"/>
    <w:rsid w:val="00513470"/>
    <w:rsid w:val="00521168"/>
    <w:rsid w:val="0052134A"/>
    <w:rsid w:val="0052167E"/>
    <w:rsid w:val="0052433B"/>
    <w:rsid w:val="005250DB"/>
    <w:rsid w:val="00535288"/>
    <w:rsid w:val="00541AF8"/>
    <w:rsid w:val="00541F5A"/>
    <w:rsid w:val="00547125"/>
    <w:rsid w:val="00547D56"/>
    <w:rsid w:val="00553FAC"/>
    <w:rsid w:val="00555DE8"/>
    <w:rsid w:val="005564C9"/>
    <w:rsid w:val="00560844"/>
    <w:rsid w:val="00562252"/>
    <w:rsid w:val="00562757"/>
    <w:rsid w:val="00564761"/>
    <w:rsid w:val="00564E33"/>
    <w:rsid w:val="005659BB"/>
    <w:rsid w:val="005675C9"/>
    <w:rsid w:val="005708D5"/>
    <w:rsid w:val="005709C3"/>
    <w:rsid w:val="005723D8"/>
    <w:rsid w:val="00573FE0"/>
    <w:rsid w:val="0057533F"/>
    <w:rsid w:val="00584C85"/>
    <w:rsid w:val="00584E8B"/>
    <w:rsid w:val="00584F7D"/>
    <w:rsid w:val="00586352"/>
    <w:rsid w:val="005869D7"/>
    <w:rsid w:val="0059484F"/>
    <w:rsid w:val="00595F0E"/>
    <w:rsid w:val="005A1458"/>
    <w:rsid w:val="005A2FC8"/>
    <w:rsid w:val="005A71FE"/>
    <w:rsid w:val="005C07D4"/>
    <w:rsid w:val="005C5672"/>
    <w:rsid w:val="005D46B8"/>
    <w:rsid w:val="005D50BB"/>
    <w:rsid w:val="005D59A8"/>
    <w:rsid w:val="005E0AF7"/>
    <w:rsid w:val="005E0F9B"/>
    <w:rsid w:val="005E3039"/>
    <w:rsid w:val="005E46B9"/>
    <w:rsid w:val="005F3030"/>
    <w:rsid w:val="005F6C76"/>
    <w:rsid w:val="005F7A1E"/>
    <w:rsid w:val="005F7E13"/>
    <w:rsid w:val="006005EB"/>
    <w:rsid w:val="00600943"/>
    <w:rsid w:val="00600A06"/>
    <w:rsid w:val="0060435A"/>
    <w:rsid w:val="006079BD"/>
    <w:rsid w:val="00613700"/>
    <w:rsid w:val="00613E0F"/>
    <w:rsid w:val="00622472"/>
    <w:rsid w:val="00623A26"/>
    <w:rsid w:val="0062476C"/>
    <w:rsid w:val="00624C6F"/>
    <w:rsid w:val="00627A07"/>
    <w:rsid w:val="00635B99"/>
    <w:rsid w:val="00640CB5"/>
    <w:rsid w:val="00641ED4"/>
    <w:rsid w:val="00645576"/>
    <w:rsid w:val="00645BFA"/>
    <w:rsid w:val="0065284D"/>
    <w:rsid w:val="006546D5"/>
    <w:rsid w:val="00655AC6"/>
    <w:rsid w:val="006573FE"/>
    <w:rsid w:val="006604D7"/>
    <w:rsid w:val="00660EDA"/>
    <w:rsid w:val="00670558"/>
    <w:rsid w:val="006705F0"/>
    <w:rsid w:val="0067127F"/>
    <w:rsid w:val="00672046"/>
    <w:rsid w:val="0067272A"/>
    <w:rsid w:val="006727D1"/>
    <w:rsid w:val="006768C4"/>
    <w:rsid w:val="00681226"/>
    <w:rsid w:val="006827E4"/>
    <w:rsid w:val="00685D66"/>
    <w:rsid w:val="00686706"/>
    <w:rsid w:val="00690424"/>
    <w:rsid w:val="00694AE1"/>
    <w:rsid w:val="006957BD"/>
    <w:rsid w:val="00696AD0"/>
    <w:rsid w:val="00696C79"/>
    <w:rsid w:val="006A1B71"/>
    <w:rsid w:val="006A3AE8"/>
    <w:rsid w:val="006A3C17"/>
    <w:rsid w:val="006B046E"/>
    <w:rsid w:val="006B3133"/>
    <w:rsid w:val="006B38DB"/>
    <w:rsid w:val="006B5FD9"/>
    <w:rsid w:val="006C1E89"/>
    <w:rsid w:val="006D0B46"/>
    <w:rsid w:val="006D2A05"/>
    <w:rsid w:val="006E06E8"/>
    <w:rsid w:val="006E5B7C"/>
    <w:rsid w:val="006F3A9E"/>
    <w:rsid w:val="006F466F"/>
    <w:rsid w:val="006F6ACD"/>
    <w:rsid w:val="006F6AF2"/>
    <w:rsid w:val="006F704E"/>
    <w:rsid w:val="0070068E"/>
    <w:rsid w:val="0070090A"/>
    <w:rsid w:val="0070175D"/>
    <w:rsid w:val="007018FF"/>
    <w:rsid w:val="0070312E"/>
    <w:rsid w:val="007051EA"/>
    <w:rsid w:val="007104AF"/>
    <w:rsid w:val="00710E25"/>
    <w:rsid w:val="00710E2F"/>
    <w:rsid w:val="007115E7"/>
    <w:rsid w:val="00712DD9"/>
    <w:rsid w:val="00712F8E"/>
    <w:rsid w:val="007147E1"/>
    <w:rsid w:val="00714A74"/>
    <w:rsid w:val="00714F56"/>
    <w:rsid w:val="007152CF"/>
    <w:rsid w:val="0072315C"/>
    <w:rsid w:val="0072318A"/>
    <w:rsid w:val="00725274"/>
    <w:rsid w:val="00730198"/>
    <w:rsid w:val="0073077F"/>
    <w:rsid w:val="007336F8"/>
    <w:rsid w:val="0073620F"/>
    <w:rsid w:val="00742692"/>
    <w:rsid w:val="00743D75"/>
    <w:rsid w:val="0074515C"/>
    <w:rsid w:val="007517F8"/>
    <w:rsid w:val="00755B25"/>
    <w:rsid w:val="0075620B"/>
    <w:rsid w:val="00756A14"/>
    <w:rsid w:val="00762E64"/>
    <w:rsid w:val="00763E6E"/>
    <w:rsid w:val="00764BDE"/>
    <w:rsid w:val="0077796B"/>
    <w:rsid w:val="0078128A"/>
    <w:rsid w:val="007832D7"/>
    <w:rsid w:val="00783C58"/>
    <w:rsid w:val="0078673B"/>
    <w:rsid w:val="00786B1B"/>
    <w:rsid w:val="00792D0F"/>
    <w:rsid w:val="007940F3"/>
    <w:rsid w:val="0079768E"/>
    <w:rsid w:val="007A09F0"/>
    <w:rsid w:val="007A1561"/>
    <w:rsid w:val="007A2282"/>
    <w:rsid w:val="007B2BA9"/>
    <w:rsid w:val="007B68CC"/>
    <w:rsid w:val="007C04B0"/>
    <w:rsid w:val="007C079A"/>
    <w:rsid w:val="007C3CC7"/>
    <w:rsid w:val="007D0146"/>
    <w:rsid w:val="007D2101"/>
    <w:rsid w:val="007D5C1E"/>
    <w:rsid w:val="007D75F6"/>
    <w:rsid w:val="007D7B93"/>
    <w:rsid w:val="007E3193"/>
    <w:rsid w:val="007E7085"/>
    <w:rsid w:val="007E75A8"/>
    <w:rsid w:val="007F223E"/>
    <w:rsid w:val="007F3029"/>
    <w:rsid w:val="00802FA9"/>
    <w:rsid w:val="00803C12"/>
    <w:rsid w:val="0080526D"/>
    <w:rsid w:val="00805805"/>
    <w:rsid w:val="008058AE"/>
    <w:rsid w:val="00805AAA"/>
    <w:rsid w:val="00815245"/>
    <w:rsid w:val="00816F0D"/>
    <w:rsid w:val="008203FA"/>
    <w:rsid w:val="00841058"/>
    <w:rsid w:val="0084542D"/>
    <w:rsid w:val="00854170"/>
    <w:rsid w:val="008607E6"/>
    <w:rsid w:val="00861069"/>
    <w:rsid w:val="0086400F"/>
    <w:rsid w:val="00871346"/>
    <w:rsid w:val="0087152F"/>
    <w:rsid w:val="00872350"/>
    <w:rsid w:val="0087267F"/>
    <w:rsid w:val="00873704"/>
    <w:rsid w:val="0088005E"/>
    <w:rsid w:val="00880844"/>
    <w:rsid w:val="008814C4"/>
    <w:rsid w:val="0088320B"/>
    <w:rsid w:val="00883283"/>
    <w:rsid w:val="00883F3B"/>
    <w:rsid w:val="00884153"/>
    <w:rsid w:val="00885BF4"/>
    <w:rsid w:val="00892F86"/>
    <w:rsid w:val="0089564F"/>
    <w:rsid w:val="00896B75"/>
    <w:rsid w:val="00896F2C"/>
    <w:rsid w:val="008971F7"/>
    <w:rsid w:val="008A133D"/>
    <w:rsid w:val="008A15CD"/>
    <w:rsid w:val="008A22DD"/>
    <w:rsid w:val="008A45F7"/>
    <w:rsid w:val="008A6536"/>
    <w:rsid w:val="008B1170"/>
    <w:rsid w:val="008B2001"/>
    <w:rsid w:val="008B3388"/>
    <w:rsid w:val="008B3C97"/>
    <w:rsid w:val="008C2F7B"/>
    <w:rsid w:val="008C46F0"/>
    <w:rsid w:val="008C48DF"/>
    <w:rsid w:val="008C6B41"/>
    <w:rsid w:val="008C7633"/>
    <w:rsid w:val="008D1E38"/>
    <w:rsid w:val="008D7954"/>
    <w:rsid w:val="008F0D4B"/>
    <w:rsid w:val="008F2BF8"/>
    <w:rsid w:val="008F3F3A"/>
    <w:rsid w:val="008F5D93"/>
    <w:rsid w:val="00900568"/>
    <w:rsid w:val="009034E8"/>
    <w:rsid w:val="00903CCC"/>
    <w:rsid w:val="009048AB"/>
    <w:rsid w:val="00904FF9"/>
    <w:rsid w:val="009107B1"/>
    <w:rsid w:val="00910A58"/>
    <w:rsid w:val="00910C60"/>
    <w:rsid w:val="00912673"/>
    <w:rsid w:val="00914077"/>
    <w:rsid w:val="00915793"/>
    <w:rsid w:val="00916F24"/>
    <w:rsid w:val="00922205"/>
    <w:rsid w:val="009228CC"/>
    <w:rsid w:val="00922A00"/>
    <w:rsid w:val="00930EEB"/>
    <w:rsid w:val="00931961"/>
    <w:rsid w:val="0093297C"/>
    <w:rsid w:val="0094357F"/>
    <w:rsid w:val="00946669"/>
    <w:rsid w:val="00947F09"/>
    <w:rsid w:val="00952A66"/>
    <w:rsid w:val="009530A8"/>
    <w:rsid w:val="009539C8"/>
    <w:rsid w:val="00963E3C"/>
    <w:rsid w:val="00964F03"/>
    <w:rsid w:val="00966578"/>
    <w:rsid w:val="009718EA"/>
    <w:rsid w:val="009778F7"/>
    <w:rsid w:val="00977B65"/>
    <w:rsid w:val="009820D9"/>
    <w:rsid w:val="009848BF"/>
    <w:rsid w:val="00987537"/>
    <w:rsid w:val="00991E15"/>
    <w:rsid w:val="0099375C"/>
    <w:rsid w:val="0099493B"/>
    <w:rsid w:val="009A186C"/>
    <w:rsid w:val="009A2D1B"/>
    <w:rsid w:val="009A4CF0"/>
    <w:rsid w:val="009B240B"/>
    <w:rsid w:val="009B2954"/>
    <w:rsid w:val="009B4CDA"/>
    <w:rsid w:val="009C1F03"/>
    <w:rsid w:val="009C2794"/>
    <w:rsid w:val="009C5722"/>
    <w:rsid w:val="009C5AF1"/>
    <w:rsid w:val="009C6F56"/>
    <w:rsid w:val="009D1960"/>
    <w:rsid w:val="009D4889"/>
    <w:rsid w:val="009D5190"/>
    <w:rsid w:val="009D53B9"/>
    <w:rsid w:val="009D5F68"/>
    <w:rsid w:val="009D76EC"/>
    <w:rsid w:val="009E2CC0"/>
    <w:rsid w:val="009E3FBC"/>
    <w:rsid w:val="009E4B3C"/>
    <w:rsid w:val="009E70CD"/>
    <w:rsid w:val="009E7BE9"/>
    <w:rsid w:val="009F16F7"/>
    <w:rsid w:val="009F44CF"/>
    <w:rsid w:val="009F57E4"/>
    <w:rsid w:val="009F687B"/>
    <w:rsid w:val="009F73C6"/>
    <w:rsid w:val="00A07F55"/>
    <w:rsid w:val="00A10237"/>
    <w:rsid w:val="00A121DF"/>
    <w:rsid w:val="00A20315"/>
    <w:rsid w:val="00A30DDC"/>
    <w:rsid w:val="00A33732"/>
    <w:rsid w:val="00A37127"/>
    <w:rsid w:val="00A37B20"/>
    <w:rsid w:val="00A37D91"/>
    <w:rsid w:val="00A425DD"/>
    <w:rsid w:val="00A473A9"/>
    <w:rsid w:val="00A50CAA"/>
    <w:rsid w:val="00A55116"/>
    <w:rsid w:val="00A55B06"/>
    <w:rsid w:val="00A602DE"/>
    <w:rsid w:val="00A62A56"/>
    <w:rsid w:val="00A63AA8"/>
    <w:rsid w:val="00A726B5"/>
    <w:rsid w:val="00A7594F"/>
    <w:rsid w:val="00A77563"/>
    <w:rsid w:val="00A82EE8"/>
    <w:rsid w:val="00A84078"/>
    <w:rsid w:val="00A939FB"/>
    <w:rsid w:val="00A958A8"/>
    <w:rsid w:val="00A97F92"/>
    <w:rsid w:val="00AA3CFD"/>
    <w:rsid w:val="00AA5CC3"/>
    <w:rsid w:val="00AB0BB8"/>
    <w:rsid w:val="00AB415A"/>
    <w:rsid w:val="00AB549D"/>
    <w:rsid w:val="00AB6675"/>
    <w:rsid w:val="00AC0D09"/>
    <w:rsid w:val="00AC0E60"/>
    <w:rsid w:val="00AC1D91"/>
    <w:rsid w:val="00AC2A6A"/>
    <w:rsid w:val="00AC35FD"/>
    <w:rsid w:val="00AD13A4"/>
    <w:rsid w:val="00AD2214"/>
    <w:rsid w:val="00AE1729"/>
    <w:rsid w:val="00AE240B"/>
    <w:rsid w:val="00AE5F71"/>
    <w:rsid w:val="00AF4564"/>
    <w:rsid w:val="00B00C09"/>
    <w:rsid w:val="00B02CE7"/>
    <w:rsid w:val="00B05BCC"/>
    <w:rsid w:val="00B10C98"/>
    <w:rsid w:val="00B117EA"/>
    <w:rsid w:val="00B1290A"/>
    <w:rsid w:val="00B133EB"/>
    <w:rsid w:val="00B15A2E"/>
    <w:rsid w:val="00B17388"/>
    <w:rsid w:val="00B3042D"/>
    <w:rsid w:val="00B30721"/>
    <w:rsid w:val="00B3266E"/>
    <w:rsid w:val="00B365CD"/>
    <w:rsid w:val="00B37246"/>
    <w:rsid w:val="00B40E86"/>
    <w:rsid w:val="00B455DA"/>
    <w:rsid w:val="00B470C2"/>
    <w:rsid w:val="00B52EEB"/>
    <w:rsid w:val="00B530B1"/>
    <w:rsid w:val="00B54315"/>
    <w:rsid w:val="00B566CB"/>
    <w:rsid w:val="00B619EB"/>
    <w:rsid w:val="00B65844"/>
    <w:rsid w:val="00B6596A"/>
    <w:rsid w:val="00B65A61"/>
    <w:rsid w:val="00B67A73"/>
    <w:rsid w:val="00B7024D"/>
    <w:rsid w:val="00B702A6"/>
    <w:rsid w:val="00B72552"/>
    <w:rsid w:val="00B73B44"/>
    <w:rsid w:val="00B74835"/>
    <w:rsid w:val="00B779E9"/>
    <w:rsid w:val="00B80295"/>
    <w:rsid w:val="00B8244E"/>
    <w:rsid w:val="00B84C38"/>
    <w:rsid w:val="00B93089"/>
    <w:rsid w:val="00B9726F"/>
    <w:rsid w:val="00B97636"/>
    <w:rsid w:val="00BA048A"/>
    <w:rsid w:val="00BB45AC"/>
    <w:rsid w:val="00BB72C4"/>
    <w:rsid w:val="00BB7DD2"/>
    <w:rsid w:val="00BC5661"/>
    <w:rsid w:val="00BC69CD"/>
    <w:rsid w:val="00BD5279"/>
    <w:rsid w:val="00BD53CF"/>
    <w:rsid w:val="00BE157F"/>
    <w:rsid w:val="00BE5E27"/>
    <w:rsid w:val="00BF2CBA"/>
    <w:rsid w:val="00BF3F2E"/>
    <w:rsid w:val="00BF4C8B"/>
    <w:rsid w:val="00C023A2"/>
    <w:rsid w:val="00C02801"/>
    <w:rsid w:val="00C06CFB"/>
    <w:rsid w:val="00C10FE2"/>
    <w:rsid w:val="00C123E4"/>
    <w:rsid w:val="00C15CC4"/>
    <w:rsid w:val="00C16794"/>
    <w:rsid w:val="00C21986"/>
    <w:rsid w:val="00C222FB"/>
    <w:rsid w:val="00C25C8F"/>
    <w:rsid w:val="00C26305"/>
    <w:rsid w:val="00C357DD"/>
    <w:rsid w:val="00C364AF"/>
    <w:rsid w:val="00C36CF2"/>
    <w:rsid w:val="00C40B22"/>
    <w:rsid w:val="00C45F92"/>
    <w:rsid w:val="00C47AB2"/>
    <w:rsid w:val="00C50F0F"/>
    <w:rsid w:val="00C52370"/>
    <w:rsid w:val="00C5789C"/>
    <w:rsid w:val="00C61075"/>
    <w:rsid w:val="00C63397"/>
    <w:rsid w:val="00C63455"/>
    <w:rsid w:val="00C6442C"/>
    <w:rsid w:val="00C64614"/>
    <w:rsid w:val="00C66A5E"/>
    <w:rsid w:val="00C66B6C"/>
    <w:rsid w:val="00C67FE2"/>
    <w:rsid w:val="00C72E74"/>
    <w:rsid w:val="00C75EBA"/>
    <w:rsid w:val="00C772C5"/>
    <w:rsid w:val="00C82109"/>
    <w:rsid w:val="00C834CF"/>
    <w:rsid w:val="00C87D6F"/>
    <w:rsid w:val="00C90A0C"/>
    <w:rsid w:val="00C91C03"/>
    <w:rsid w:val="00C94B44"/>
    <w:rsid w:val="00C97C39"/>
    <w:rsid w:val="00CA1853"/>
    <w:rsid w:val="00CA1FC9"/>
    <w:rsid w:val="00CA2C85"/>
    <w:rsid w:val="00CA34B8"/>
    <w:rsid w:val="00CA7645"/>
    <w:rsid w:val="00CB3585"/>
    <w:rsid w:val="00CB46CC"/>
    <w:rsid w:val="00CB6A95"/>
    <w:rsid w:val="00CC1E75"/>
    <w:rsid w:val="00CC3C23"/>
    <w:rsid w:val="00CC4232"/>
    <w:rsid w:val="00CD179B"/>
    <w:rsid w:val="00CD2764"/>
    <w:rsid w:val="00CD29FC"/>
    <w:rsid w:val="00CE4202"/>
    <w:rsid w:val="00CF12A9"/>
    <w:rsid w:val="00CF1631"/>
    <w:rsid w:val="00CF3E34"/>
    <w:rsid w:val="00D02656"/>
    <w:rsid w:val="00D03994"/>
    <w:rsid w:val="00D05A4E"/>
    <w:rsid w:val="00D05EE4"/>
    <w:rsid w:val="00D14DEB"/>
    <w:rsid w:val="00D159EE"/>
    <w:rsid w:val="00D16B80"/>
    <w:rsid w:val="00D263C2"/>
    <w:rsid w:val="00D308E8"/>
    <w:rsid w:val="00D30D5F"/>
    <w:rsid w:val="00D360F0"/>
    <w:rsid w:val="00D418F1"/>
    <w:rsid w:val="00D419B7"/>
    <w:rsid w:val="00D42112"/>
    <w:rsid w:val="00D42228"/>
    <w:rsid w:val="00D4233B"/>
    <w:rsid w:val="00D425E3"/>
    <w:rsid w:val="00D44C1C"/>
    <w:rsid w:val="00D46383"/>
    <w:rsid w:val="00D46E9C"/>
    <w:rsid w:val="00D525EA"/>
    <w:rsid w:val="00D54328"/>
    <w:rsid w:val="00D5641C"/>
    <w:rsid w:val="00D63FA0"/>
    <w:rsid w:val="00D66CF0"/>
    <w:rsid w:val="00D679BD"/>
    <w:rsid w:val="00D7173F"/>
    <w:rsid w:val="00D7289E"/>
    <w:rsid w:val="00D74A6C"/>
    <w:rsid w:val="00D8009E"/>
    <w:rsid w:val="00D828D6"/>
    <w:rsid w:val="00D84927"/>
    <w:rsid w:val="00D86DF0"/>
    <w:rsid w:val="00D9091F"/>
    <w:rsid w:val="00D92726"/>
    <w:rsid w:val="00D9768D"/>
    <w:rsid w:val="00DA1A05"/>
    <w:rsid w:val="00DA2C2C"/>
    <w:rsid w:val="00DA3215"/>
    <w:rsid w:val="00DA3BCA"/>
    <w:rsid w:val="00DA5EFD"/>
    <w:rsid w:val="00DB7EEB"/>
    <w:rsid w:val="00DC0A54"/>
    <w:rsid w:val="00DC7402"/>
    <w:rsid w:val="00DE52AF"/>
    <w:rsid w:val="00DE65F6"/>
    <w:rsid w:val="00DE67BF"/>
    <w:rsid w:val="00DF3CED"/>
    <w:rsid w:val="00DF56D1"/>
    <w:rsid w:val="00DF5931"/>
    <w:rsid w:val="00DF67C5"/>
    <w:rsid w:val="00E00735"/>
    <w:rsid w:val="00E025C0"/>
    <w:rsid w:val="00E1185C"/>
    <w:rsid w:val="00E1256D"/>
    <w:rsid w:val="00E15338"/>
    <w:rsid w:val="00E15CF3"/>
    <w:rsid w:val="00E202F0"/>
    <w:rsid w:val="00E20B83"/>
    <w:rsid w:val="00E22F06"/>
    <w:rsid w:val="00E271CE"/>
    <w:rsid w:val="00E273C1"/>
    <w:rsid w:val="00E306A1"/>
    <w:rsid w:val="00E314E9"/>
    <w:rsid w:val="00E31898"/>
    <w:rsid w:val="00E31989"/>
    <w:rsid w:val="00E32ECC"/>
    <w:rsid w:val="00E35320"/>
    <w:rsid w:val="00E36544"/>
    <w:rsid w:val="00E37AF1"/>
    <w:rsid w:val="00E4051B"/>
    <w:rsid w:val="00E40789"/>
    <w:rsid w:val="00E43BD8"/>
    <w:rsid w:val="00E459D9"/>
    <w:rsid w:val="00E45E1E"/>
    <w:rsid w:val="00E471A5"/>
    <w:rsid w:val="00E4724A"/>
    <w:rsid w:val="00E47804"/>
    <w:rsid w:val="00E53A88"/>
    <w:rsid w:val="00E54A68"/>
    <w:rsid w:val="00E55BD0"/>
    <w:rsid w:val="00E56077"/>
    <w:rsid w:val="00E56551"/>
    <w:rsid w:val="00E56D53"/>
    <w:rsid w:val="00E624F6"/>
    <w:rsid w:val="00E655AC"/>
    <w:rsid w:val="00E66C4B"/>
    <w:rsid w:val="00E67155"/>
    <w:rsid w:val="00E707E3"/>
    <w:rsid w:val="00E726A3"/>
    <w:rsid w:val="00E75873"/>
    <w:rsid w:val="00E84AE5"/>
    <w:rsid w:val="00E84B0F"/>
    <w:rsid w:val="00E8593D"/>
    <w:rsid w:val="00E86287"/>
    <w:rsid w:val="00E86BE8"/>
    <w:rsid w:val="00E86C62"/>
    <w:rsid w:val="00E873E6"/>
    <w:rsid w:val="00E9249A"/>
    <w:rsid w:val="00E93664"/>
    <w:rsid w:val="00E95F15"/>
    <w:rsid w:val="00E96339"/>
    <w:rsid w:val="00E96344"/>
    <w:rsid w:val="00E9736D"/>
    <w:rsid w:val="00EA01D4"/>
    <w:rsid w:val="00EA077F"/>
    <w:rsid w:val="00EA0F10"/>
    <w:rsid w:val="00EA394C"/>
    <w:rsid w:val="00EA5E3D"/>
    <w:rsid w:val="00EA614D"/>
    <w:rsid w:val="00EA712A"/>
    <w:rsid w:val="00EA735F"/>
    <w:rsid w:val="00EB1508"/>
    <w:rsid w:val="00EB1D6D"/>
    <w:rsid w:val="00EB240E"/>
    <w:rsid w:val="00EB2A6B"/>
    <w:rsid w:val="00EB2BFE"/>
    <w:rsid w:val="00EB6AAE"/>
    <w:rsid w:val="00EB75F2"/>
    <w:rsid w:val="00EB799E"/>
    <w:rsid w:val="00EB7B10"/>
    <w:rsid w:val="00EC15DD"/>
    <w:rsid w:val="00EC15E7"/>
    <w:rsid w:val="00EC2E65"/>
    <w:rsid w:val="00EC5841"/>
    <w:rsid w:val="00EC5DE2"/>
    <w:rsid w:val="00EC6518"/>
    <w:rsid w:val="00EC65FA"/>
    <w:rsid w:val="00EC7C11"/>
    <w:rsid w:val="00ED03AB"/>
    <w:rsid w:val="00ED1AC8"/>
    <w:rsid w:val="00ED2E5D"/>
    <w:rsid w:val="00ED4633"/>
    <w:rsid w:val="00ED6915"/>
    <w:rsid w:val="00EE48A8"/>
    <w:rsid w:val="00EE5078"/>
    <w:rsid w:val="00EE5E46"/>
    <w:rsid w:val="00EE64DA"/>
    <w:rsid w:val="00EF04F8"/>
    <w:rsid w:val="00EF18E1"/>
    <w:rsid w:val="00EF2FCF"/>
    <w:rsid w:val="00EF77AA"/>
    <w:rsid w:val="00EF7973"/>
    <w:rsid w:val="00F10390"/>
    <w:rsid w:val="00F11D42"/>
    <w:rsid w:val="00F138F0"/>
    <w:rsid w:val="00F1426E"/>
    <w:rsid w:val="00F1503D"/>
    <w:rsid w:val="00F151C5"/>
    <w:rsid w:val="00F174E3"/>
    <w:rsid w:val="00F2069D"/>
    <w:rsid w:val="00F23D0E"/>
    <w:rsid w:val="00F23D80"/>
    <w:rsid w:val="00F248FD"/>
    <w:rsid w:val="00F41AB6"/>
    <w:rsid w:val="00F513DB"/>
    <w:rsid w:val="00F53384"/>
    <w:rsid w:val="00F63898"/>
    <w:rsid w:val="00F6591E"/>
    <w:rsid w:val="00F665F3"/>
    <w:rsid w:val="00F6753C"/>
    <w:rsid w:val="00F70566"/>
    <w:rsid w:val="00F74849"/>
    <w:rsid w:val="00F74C30"/>
    <w:rsid w:val="00F83C7E"/>
    <w:rsid w:val="00F849ED"/>
    <w:rsid w:val="00F8639A"/>
    <w:rsid w:val="00F93B76"/>
    <w:rsid w:val="00F96256"/>
    <w:rsid w:val="00F971D1"/>
    <w:rsid w:val="00FA20A0"/>
    <w:rsid w:val="00FA4156"/>
    <w:rsid w:val="00FA49A7"/>
    <w:rsid w:val="00FB7696"/>
    <w:rsid w:val="00FC0C38"/>
    <w:rsid w:val="00FC1794"/>
    <w:rsid w:val="00FC372B"/>
    <w:rsid w:val="00FC7741"/>
    <w:rsid w:val="00FD22B3"/>
    <w:rsid w:val="00FD72CC"/>
    <w:rsid w:val="00FD74EE"/>
    <w:rsid w:val="00FE1F74"/>
    <w:rsid w:val="00FE2925"/>
    <w:rsid w:val="00FE2A94"/>
    <w:rsid w:val="00FF3113"/>
    <w:rsid w:val="00FF38BE"/>
    <w:rsid w:val="00FF52BB"/>
    <w:rsid w:val="00FF58A3"/>
    <w:rsid w:val="00FF6144"/>
    <w:rsid w:val="00FF6AB2"/>
    <w:rsid w:val="01370DD3"/>
    <w:rsid w:val="02C07532"/>
    <w:rsid w:val="030D74D2"/>
    <w:rsid w:val="03620ED5"/>
    <w:rsid w:val="04BC3FEE"/>
    <w:rsid w:val="061E27C7"/>
    <w:rsid w:val="06AD5991"/>
    <w:rsid w:val="088F37C7"/>
    <w:rsid w:val="08995803"/>
    <w:rsid w:val="0ACC3045"/>
    <w:rsid w:val="0AE470C6"/>
    <w:rsid w:val="0C06354B"/>
    <w:rsid w:val="0CC87A85"/>
    <w:rsid w:val="0CD43E9E"/>
    <w:rsid w:val="0D110C4F"/>
    <w:rsid w:val="0ECB0846"/>
    <w:rsid w:val="0F29227F"/>
    <w:rsid w:val="100E76C7"/>
    <w:rsid w:val="10910564"/>
    <w:rsid w:val="109C5BB5"/>
    <w:rsid w:val="10F20636"/>
    <w:rsid w:val="120A776D"/>
    <w:rsid w:val="12383083"/>
    <w:rsid w:val="126B2BAF"/>
    <w:rsid w:val="145A6CB7"/>
    <w:rsid w:val="14654CC2"/>
    <w:rsid w:val="153631E5"/>
    <w:rsid w:val="168D7598"/>
    <w:rsid w:val="16CB00C0"/>
    <w:rsid w:val="178F7C63"/>
    <w:rsid w:val="1AB00BFE"/>
    <w:rsid w:val="1C2C79CC"/>
    <w:rsid w:val="1D471131"/>
    <w:rsid w:val="1D8E7637"/>
    <w:rsid w:val="1EAD229E"/>
    <w:rsid w:val="1EE30DE4"/>
    <w:rsid w:val="1FA429E4"/>
    <w:rsid w:val="1FCC6540"/>
    <w:rsid w:val="1FFE6D70"/>
    <w:rsid w:val="203C5BC9"/>
    <w:rsid w:val="216216C3"/>
    <w:rsid w:val="219F0F6C"/>
    <w:rsid w:val="247C46E2"/>
    <w:rsid w:val="27394F61"/>
    <w:rsid w:val="285B7ADE"/>
    <w:rsid w:val="29FA690E"/>
    <w:rsid w:val="29FB0865"/>
    <w:rsid w:val="2B207661"/>
    <w:rsid w:val="2E32458D"/>
    <w:rsid w:val="2E43303E"/>
    <w:rsid w:val="2EB01C1E"/>
    <w:rsid w:val="30235219"/>
    <w:rsid w:val="31C041E2"/>
    <w:rsid w:val="32A40805"/>
    <w:rsid w:val="338A04AD"/>
    <w:rsid w:val="33DB1E51"/>
    <w:rsid w:val="34963664"/>
    <w:rsid w:val="34CA038A"/>
    <w:rsid w:val="34F20EA0"/>
    <w:rsid w:val="350E6B48"/>
    <w:rsid w:val="35B96E58"/>
    <w:rsid w:val="35D408E8"/>
    <w:rsid w:val="35D970DD"/>
    <w:rsid w:val="36341386"/>
    <w:rsid w:val="3642634D"/>
    <w:rsid w:val="37A60062"/>
    <w:rsid w:val="3D932E36"/>
    <w:rsid w:val="3FDE7BCF"/>
    <w:rsid w:val="411B561D"/>
    <w:rsid w:val="421D7172"/>
    <w:rsid w:val="423F0807"/>
    <w:rsid w:val="42880601"/>
    <w:rsid w:val="43724F3D"/>
    <w:rsid w:val="45126D36"/>
    <w:rsid w:val="45752144"/>
    <w:rsid w:val="465E4B2C"/>
    <w:rsid w:val="477C2B8D"/>
    <w:rsid w:val="48DC7FB4"/>
    <w:rsid w:val="4A275D69"/>
    <w:rsid w:val="4A474152"/>
    <w:rsid w:val="51C40829"/>
    <w:rsid w:val="52052E7E"/>
    <w:rsid w:val="538C52F9"/>
    <w:rsid w:val="53E67249"/>
    <w:rsid w:val="548D21E3"/>
    <w:rsid w:val="556F5ADF"/>
    <w:rsid w:val="558B5689"/>
    <w:rsid w:val="56E54870"/>
    <w:rsid w:val="579330C2"/>
    <w:rsid w:val="57FB78A3"/>
    <w:rsid w:val="59C52172"/>
    <w:rsid w:val="59D51DB6"/>
    <w:rsid w:val="5A4C6410"/>
    <w:rsid w:val="5A9164F8"/>
    <w:rsid w:val="5B4D3FE9"/>
    <w:rsid w:val="5D2813C1"/>
    <w:rsid w:val="5DEF64B2"/>
    <w:rsid w:val="5E161C4E"/>
    <w:rsid w:val="5EF4451B"/>
    <w:rsid w:val="5F5A15AE"/>
    <w:rsid w:val="5FD90AE9"/>
    <w:rsid w:val="608C4071"/>
    <w:rsid w:val="608F5287"/>
    <w:rsid w:val="6094289E"/>
    <w:rsid w:val="60AE7F5F"/>
    <w:rsid w:val="623B7A2B"/>
    <w:rsid w:val="643A1FDF"/>
    <w:rsid w:val="64ED5790"/>
    <w:rsid w:val="66481837"/>
    <w:rsid w:val="67DF4D46"/>
    <w:rsid w:val="68CF6B69"/>
    <w:rsid w:val="69A753F0"/>
    <w:rsid w:val="69F424B1"/>
    <w:rsid w:val="6A4E1D0F"/>
    <w:rsid w:val="6A9A4F55"/>
    <w:rsid w:val="6AC11FB6"/>
    <w:rsid w:val="6B151EAA"/>
    <w:rsid w:val="6B332BFD"/>
    <w:rsid w:val="6B7D172D"/>
    <w:rsid w:val="6C6D6E84"/>
    <w:rsid w:val="6CA466E0"/>
    <w:rsid w:val="6EA63229"/>
    <w:rsid w:val="6EA92727"/>
    <w:rsid w:val="6EAB7730"/>
    <w:rsid w:val="6F825009"/>
    <w:rsid w:val="70E018AE"/>
    <w:rsid w:val="71A66D7B"/>
    <w:rsid w:val="72127AC6"/>
    <w:rsid w:val="761D1A86"/>
    <w:rsid w:val="76285B0A"/>
    <w:rsid w:val="77A5320D"/>
    <w:rsid w:val="780F0439"/>
    <w:rsid w:val="7E977CD1"/>
    <w:rsid w:val="7FC9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82"/>
          <c:y val="0.0763951059385258"/>
          <c:w val="0.860968"/>
          <c:h val="0.60853476574157"/>
        </c:manualLayout>
      </c:layout>
      <c:lineChart>
        <c:grouping val="stacked"/>
        <c:varyColors val="0"/>
        <c:ser>
          <c:idx val="0"/>
          <c:order val="0"/>
          <c:tx>
            <c:strRef>
              <c:f>Sheet1!$B$1</c:f>
              <c:strCache>
                <c:ptCount val="1"/>
                <c:pt idx="0">
                  <c:v>发改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Sheet1!$B$2:$B$5</c:f>
              <c:numCache>
                <c:formatCode>General</c:formatCode>
                <c:ptCount val="4"/>
                <c:pt idx="0">
                  <c:v>21</c:v>
                </c:pt>
                <c:pt idx="1">
                  <c:v>43</c:v>
                </c:pt>
                <c:pt idx="2">
                  <c:v>64</c:v>
                </c:pt>
                <c:pt idx="3">
                  <c:v>82</c:v>
                </c:pt>
              </c:numCache>
            </c:numRef>
          </c:val>
          <c:smooth val="0"/>
        </c:ser>
        <c:ser>
          <c:idx val="1"/>
          <c:order val="1"/>
          <c:tx>
            <c:strRef>
              <c:f>Sheet1!$C$1</c:f>
              <c:strCache>
                <c:ptCount val="1"/>
                <c:pt idx="0">
                  <c:v>上诉</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Sheet1!$C$2:$C$5</c:f>
              <c:numCache>
                <c:formatCode>General</c:formatCode>
                <c:ptCount val="4"/>
                <c:pt idx="0">
                  <c:v>108</c:v>
                </c:pt>
                <c:pt idx="1">
                  <c:v>229</c:v>
                </c:pt>
                <c:pt idx="2">
                  <c:v>338</c:v>
                </c:pt>
                <c:pt idx="3">
                  <c:v>501</c:v>
                </c:pt>
              </c:numCache>
            </c:numRef>
          </c:val>
          <c:smooth val="0"/>
        </c:ser>
        <c:ser>
          <c:idx val="2"/>
          <c:order val="2"/>
          <c:tx>
            <c:strRef>
              <c:f>Sheet1!$D$1</c:f>
              <c:strCache>
                <c:ptCount val="1"/>
                <c:pt idx="0">
                  <c:v>结案</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Sheet1!$D$2:$D$5</c:f>
              <c:numCache>
                <c:formatCode>General</c:formatCode>
                <c:ptCount val="4"/>
                <c:pt idx="0">
                  <c:v>554</c:v>
                </c:pt>
                <c:pt idx="1">
                  <c:v>1389</c:v>
                </c:pt>
                <c:pt idx="2">
                  <c:v>2367</c:v>
                </c:pt>
                <c:pt idx="3">
                  <c:v>3891</c:v>
                </c:pt>
              </c:numCache>
            </c:numRef>
          </c:val>
          <c:smooth val="0"/>
        </c:ser>
        <c:ser>
          <c:idx val="3"/>
          <c:order val="3"/>
          <c:tx>
            <c:strRef>
              <c:f>Sheet1!$E$1</c:f>
              <c:strCache>
                <c:ptCount val="1"/>
                <c:pt idx="0">
                  <c:v>收案</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Sheet1!$E$2:$E$5</c:f>
              <c:numCache>
                <c:formatCode>General</c:formatCode>
                <c:ptCount val="4"/>
                <c:pt idx="0">
                  <c:v>736</c:v>
                </c:pt>
                <c:pt idx="1">
                  <c:v>1783</c:v>
                </c:pt>
                <c:pt idx="2">
                  <c:v>2829</c:v>
                </c:pt>
                <c:pt idx="3">
                  <c:v>4108</c:v>
                </c:pt>
              </c:numCache>
            </c:numRef>
          </c:val>
          <c:smooth val="0"/>
        </c:ser>
        <c:dLbls>
          <c:showLegendKey val="0"/>
          <c:showVal val="1"/>
          <c:showCatName val="0"/>
          <c:showSerName val="0"/>
          <c:showPercent val="0"/>
          <c:showBubbleSize val="0"/>
        </c:dLbls>
        <c:marker val="1"/>
        <c:smooth val="0"/>
        <c:axId val="195248361"/>
        <c:axId val="21025551"/>
      </c:lineChart>
      <c:catAx>
        <c:axId val="195248361"/>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25551"/>
        <c:crosses val="autoZero"/>
        <c:auto val="1"/>
        <c:lblAlgn val="ctr"/>
        <c:lblOffset val="100"/>
        <c:noMultiLvlLbl val="0"/>
      </c:catAx>
      <c:valAx>
        <c:axId val="21025551"/>
        <c:scaling>
          <c:logBase val="10"/>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24836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manualLayout>
          <c:xMode val="edge"/>
          <c:yMode val="edge"/>
          <c:x val="0.2663125"/>
          <c:y val="0.91823336317517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案件数</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Pt>
            <c:idx val="8"/>
            <c:bubble3D val="0"/>
            <c:spPr>
              <a:solidFill>
                <a:schemeClr val="accent3">
                  <a:lumMod val="60000"/>
                </a:schemeClr>
              </a:solidFill>
              <a:ln w="25400">
                <a:solidFill>
                  <a:schemeClr val="lt1"/>
                </a:solidFill>
              </a:ln>
              <a:effectLst/>
              <a:scene3d>
                <a:camera prst="orthographicFront"/>
                <a:lightRig rig="threePt" dir="t"/>
              </a:scene3d>
              <a:sp3d contourW="25400"/>
            </c:spPr>
          </c:dPt>
          <c:dPt>
            <c:idx val="9"/>
            <c:bubble3D val="0"/>
            <c:spPr>
              <a:solidFill>
                <a:schemeClr val="accent4">
                  <a:lumMod val="60000"/>
                </a:schemeClr>
              </a:solidFill>
              <a:ln w="25400">
                <a:solidFill>
                  <a:schemeClr val="lt1"/>
                </a:solidFill>
              </a:ln>
              <a:effectLst/>
              <a:scene3d>
                <a:camera prst="orthographicFront"/>
                <a:lightRig rig="threePt" dir="t"/>
              </a:scene3d>
              <a:sp3d contourW="25400"/>
            </c:spPr>
          </c:dPt>
          <c:dPt>
            <c:idx val="10"/>
            <c:bubble3D val="0"/>
            <c:spPr>
              <a:solidFill>
                <a:schemeClr val="accent5">
                  <a:lumMod val="60000"/>
                </a:schemeClr>
              </a:solidFill>
              <a:ln w="25400">
                <a:solidFill>
                  <a:schemeClr val="lt1"/>
                </a:solidFill>
              </a:ln>
              <a:effectLst/>
              <a:scene3d>
                <a:camera prst="orthographicFront"/>
                <a:lightRig rig="threePt" dir="t"/>
              </a:scene3d>
              <a:sp3d contourW="25400"/>
            </c:spPr>
          </c:dPt>
          <c:dPt>
            <c:idx val="11"/>
            <c:bubble3D val="0"/>
            <c:spPr>
              <a:solidFill>
                <a:schemeClr val="accent6">
                  <a:lumMod val="60000"/>
                </a:schemeClr>
              </a:solidFill>
              <a:ln w="25400">
                <a:solidFill>
                  <a:schemeClr val="lt1"/>
                </a:solidFill>
              </a:ln>
              <a:effectLst/>
              <a:scene3d>
                <a:camera prst="orthographicFront"/>
                <a:lightRig rig="threePt" dir="t"/>
              </a:scene3d>
              <a:sp3d contourW="25400"/>
            </c:spPr>
          </c:dPt>
          <c:dLbls>
            <c:dLbl>
              <c:idx val="0"/>
              <c:layout>
                <c:manualLayout>
                  <c:x val="0.01175"/>
                  <c:y val="-0.12109795479009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
                  <c:y val="-0.16759956942949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
                  <c:y val="0.14790096878363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36125"/>
                  <c:y val="0.13842841765339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74625"/>
                  <c:y val="0.14585575888051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369125"/>
                  <c:y val="0.19023787844271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278375"/>
                  <c:y val="0.046272978278939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3795"/>
                  <c:y val="0.22009231019117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296125"/>
                  <c:y val="0.301784451009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9"/>
              <c:layout>
                <c:manualLayout>
                  <c:x val="0.080375"/>
                  <c:y val="0.30932195535828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
                  <c:y val="0.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1"/>
              <c:layout>
                <c:manualLayout>
                  <c:x val="0.23375"/>
                  <c:y val="-0.29644779332615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民间借贷纠纷</c:v>
                </c:pt>
                <c:pt idx="1">
                  <c:v>机动车交通事故责任纠纷</c:v>
                </c:pt>
                <c:pt idx="2">
                  <c:v>买卖合同纠纷</c:v>
                </c:pt>
                <c:pt idx="3">
                  <c:v>生命权、身体权、健康权纠纷</c:v>
                </c:pt>
                <c:pt idx="4">
                  <c:v>劳动争议</c:v>
                </c:pt>
                <c:pt idx="5">
                  <c:v>案外人执行异议之诉</c:v>
                </c:pt>
                <c:pt idx="6">
                  <c:v>物业服务合同纠纷</c:v>
                </c:pt>
                <c:pt idx="7">
                  <c:v>财产损害赔偿纠纷</c:v>
                </c:pt>
                <c:pt idx="8">
                  <c:v>保险纠纷</c:v>
                </c:pt>
                <c:pt idx="9">
                  <c:v>承包地征收补偿费用分配纠纷</c:v>
                </c:pt>
                <c:pt idx="10">
                  <c:v>建设工程施工合同纠纷</c:v>
                </c:pt>
                <c:pt idx="11">
                  <c:v>其他42个案由</c:v>
                </c:pt>
              </c:strCache>
            </c:strRef>
          </c:cat>
          <c:val>
            <c:numRef>
              <c:f>Sheet1!$B$2:$B$13</c:f>
              <c:numCache>
                <c:formatCode>General</c:formatCode>
                <c:ptCount val="12"/>
                <c:pt idx="0">
                  <c:v>46</c:v>
                </c:pt>
                <c:pt idx="1">
                  <c:v>42</c:v>
                </c:pt>
                <c:pt idx="2">
                  <c:v>39</c:v>
                </c:pt>
                <c:pt idx="3">
                  <c:v>39</c:v>
                </c:pt>
                <c:pt idx="4">
                  <c:v>32</c:v>
                </c:pt>
                <c:pt idx="5">
                  <c:v>26</c:v>
                </c:pt>
                <c:pt idx="6">
                  <c:v>16</c:v>
                </c:pt>
                <c:pt idx="7">
                  <c:v>15</c:v>
                </c:pt>
                <c:pt idx="8">
                  <c:v>9</c:v>
                </c:pt>
                <c:pt idx="9">
                  <c:v>9</c:v>
                </c:pt>
                <c:pt idx="10">
                  <c:v>9</c:v>
                </c:pt>
                <c:pt idx="11">
                  <c:v>117</c:v>
                </c:pt>
              </c:numCache>
            </c:numRef>
          </c:val>
        </c:ser>
        <c:dLbls>
          <c:showLegendKey val="0"/>
          <c:showVal val="1"/>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案件数</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Pt>
            <c:idx val="8"/>
            <c:bubble3D val="0"/>
            <c:spPr>
              <a:solidFill>
                <a:schemeClr val="accent3">
                  <a:lumMod val="60000"/>
                </a:schemeClr>
              </a:solidFill>
              <a:ln w="25400">
                <a:solidFill>
                  <a:schemeClr val="lt1"/>
                </a:solidFill>
              </a:ln>
              <a:effectLst/>
              <a:scene3d>
                <a:camera prst="orthographicFront"/>
                <a:lightRig rig="threePt" dir="t"/>
              </a:scene3d>
              <a:sp3d contourW="25400"/>
            </c:spPr>
          </c:dPt>
          <c:dPt>
            <c:idx val="9"/>
            <c:bubble3D val="0"/>
            <c:spPr>
              <a:solidFill>
                <a:schemeClr val="accent4">
                  <a:lumMod val="60000"/>
                </a:schemeClr>
              </a:solidFill>
              <a:ln w="25400">
                <a:solidFill>
                  <a:schemeClr val="lt1"/>
                </a:solidFill>
              </a:ln>
              <a:effectLst/>
              <a:scene3d>
                <a:camera prst="orthographicFront"/>
                <a:lightRig rig="threePt" dir="t"/>
              </a:scene3d>
              <a:sp3d contourW="25400"/>
            </c:spPr>
          </c:dPt>
          <c:dPt>
            <c:idx val="10"/>
            <c:bubble3D val="0"/>
            <c:spPr>
              <a:solidFill>
                <a:schemeClr val="accent5">
                  <a:lumMod val="60000"/>
                </a:schemeClr>
              </a:solidFill>
              <a:ln w="25400">
                <a:solidFill>
                  <a:schemeClr val="lt1"/>
                </a:solidFill>
              </a:ln>
              <a:effectLst/>
              <a:scene3d>
                <a:camera prst="orthographicFront"/>
                <a:lightRig rig="threePt" dir="t"/>
              </a:scene3d>
              <a:sp3d contourW="25400"/>
            </c:spPr>
          </c:dPt>
          <c:dPt>
            <c:idx val="11"/>
            <c:bubble3D val="0"/>
            <c:spPr>
              <a:solidFill>
                <a:schemeClr val="accent6">
                  <a:lumMod val="60000"/>
                </a:schemeClr>
              </a:solidFill>
              <a:ln w="25400">
                <a:solidFill>
                  <a:schemeClr val="lt1"/>
                </a:solidFill>
              </a:ln>
              <a:effectLst/>
              <a:scene3d>
                <a:camera prst="orthographicFront"/>
                <a:lightRig rig="threePt" dir="t"/>
              </a:scene3d>
              <a:sp3d contourW="25400"/>
            </c:spPr>
          </c:dPt>
          <c:dPt>
            <c:idx val="12"/>
            <c:bubble3D val="0"/>
            <c:spPr>
              <a:solidFill>
                <a:schemeClr val="accent1">
                  <a:lumMod val="80000"/>
                  <a:lumOff val="20000"/>
                </a:schemeClr>
              </a:solidFill>
              <a:ln w="25400">
                <a:solidFill>
                  <a:schemeClr val="lt1"/>
                </a:solidFill>
              </a:ln>
              <a:effectLst/>
              <a:scene3d>
                <a:camera prst="orthographicFront"/>
                <a:lightRig rig="threePt" dir="t"/>
              </a:scene3d>
              <a:sp3d contourW="25400"/>
            </c:spPr>
          </c:dPt>
          <c:dPt>
            <c:idx val="13"/>
            <c:bubble3D val="0"/>
            <c:spPr>
              <a:solidFill>
                <a:schemeClr val="accent2">
                  <a:lumMod val="80000"/>
                  <a:lumOff val="20000"/>
                </a:schemeClr>
              </a:solidFill>
              <a:ln w="25400">
                <a:solidFill>
                  <a:schemeClr val="lt1"/>
                </a:solidFill>
              </a:ln>
              <a:effectLst/>
              <a:scene3d>
                <a:camera prst="orthographicFront"/>
                <a:lightRig rig="threePt" dir="t"/>
              </a:scene3d>
              <a:sp3d contourW="25400"/>
            </c:spPr>
          </c:dPt>
          <c:dPt>
            <c:idx val="14"/>
            <c:bubble3D val="0"/>
            <c:spPr>
              <a:solidFill>
                <a:schemeClr val="accent3">
                  <a:lumMod val="80000"/>
                  <a:lumOff val="20000"/>
                </a:schemeClr>
              </a:solidFill>
              <a:ln w="25400">
                <a:solidFill>
                  <a:schemeClr val="lt1"/>
                </a:solidFill>
              </a:ln>
              <a:effectLst/>
              <a:scene3d>
                <a:camera prst="orthographicFront"/>
                <a:lightRig rig="threePt" dir="t"/>
              </a:scene3d>
              <a:sp3d contourW="25400"/>
            </c:spPr>
          </c:dPt>
          <c:dPt>
            <c:idx val="15"/>
            <c:bubble3D val="0"/>
            <c:spPr>
              <a:solidFill>
                <a:schemeClr val="accent4">
                  <a:lumMod val="80000"/>
                  <a:lumOff val="20000"/>
                </a:schemeClr>
              </a:solidFill>
              <a:ln w="25400">
                <a:solidFill>
                  <a:schemeClr val="lt1"/>
                </a:solidFill>
              </a:ln>
              <a:effectLst/>
              <a:scene3d>
                <a:camera prst="orthographicFront"/>
                <a:lightRig rig="threePt" dir="t"/>
              </a:scene3d>
              <a:sp3d contourW="25400"/>
            </c:spPr>
          </c:dPt>
          <c:dPt>
            <c:idx val="16"/>
            <c:bubble3D val="0"/>
            <c:spPr>
              <a:solidFill>
                <a:schemeClr val="accent5">
                  <a:lumMod val="80000"/>
                  <a:lumOff val="20000"/>
                </a:schemeClr>
              </a:solidFill>
              <a:ln w="25400">
                <a:solidFill>
                  <a:schemeClr val="lt1"/>
                </a:solidFill>
              </a:ln>
              <a:effectLst/>
              <a:scene3d>
                <a:camera prst="orthographicFront"/>
                <a:lightRig rig="threePt" dir="t"/>
              </a:scene3d>
              <a:sp3d contourW="25400"/>
            </c:spPr>
          </c:dPt>
          <c:dLbls>
            <c:dLbl>
              <c:idx val="0"/>
              <c:layout>
                <c:manualLayout>
                  <c:x val="0.02575"/>
                  <c:y val="-0.2469912176081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4125"/>
                  <c:y val="0.25815895044996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625"/>
                  <c:y val="0.1552054599830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18"/>
                  <c:y val="0.13824135313889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85"/>
                  <c:y val="0.20134446492464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67625"/>
                  <c:y val="0.24204196492814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0825"/>
                  <c:y val="0.25208717337092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04625"/>
                  <c:y val="0.29990241786837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
                  <c:y val="-0.0101919115255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38875"/>
                      <c:h val="0.0767646102135964"/>
                    </c:manualLayout>
                  </c15:layout>
                </c:ext>
              </c:extLst>
            </c:dLbl>
            <c:dLbl>
              <c:idx val="9"/>
              <c:layout>
                <c:manualLayout>
                  <c:x val="0"/>
                  <c:y val="-0.066139000325273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0"/>
              <c:layout>
                <c:manualLayout>
                  <c:x val="0"/>
                  <c:y val="-0.076222487260110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1"/>
              <c:layout>
                <c:manualLayout>
                  <c:x val="0.026875"/>
                  <c:y val="-0.11070150710181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2"/>
              <c:layout>
                <c:manualLayout>
                  <c:x val="0.0175"/>
                  <c:y val="-0.14030142036213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3"/>
              <c:layout>
                <c:manualLayout>
                  <c:x val="0.034"/>
                  <c:y val="-0.18898406158516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4"/>
              <c:layout>
                <c:manualLayout>
                  <c:x val="0.077375"/>
                  <c:y val="-0.2413148786747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5"/>
              <c:layout>
                <c:manualLayout>
                  <c:x val="0.137125"/>
                  <c:y val="-0.18703241895261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6"/>
              <c:layout>
                <c:manualLayout>
                  <c:x val="0.226125"/>
                  <c:y val="-0.18800824026889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民间借贷纠纷</c:v>
                </c:pt>
                <c:pt idx="1">
                  <c:v>买卖合同纠纷</c:v>
                </c:pt>
                <c:pt idx="2">
                  <c:v>物权纠纷</c:v>
                </c:pt>
                <c:pt idx="3">
                  <c:v>建设工程施工合同纠纷</c:v>
                </c:pt>
                <c:pt idx="4">
                  <c:v>借款合同纠纷</c:v>
                </c:pt>
                <c:pt idx="5">
                  <c:v>生命权、身体权、健康权纠纷</c:v>
                </c:pt>
                <c:pt idx="6">
                  <c:v>物业服务合同纠纷</c:v>
                </c:pt>
                <c:pt idx="7">
                  <c:v>保险纠纷</c:v>
                </c:pt>
                <c:pt idx="8">
                  <c:v>承包地征收补偿费用分配纠纷</c:v>
                </c:pt>
                <c:pt idx="9">
                  <c:v>抵押权纠纷</c:v>
                </c:pt>
                <c:pt idx="10">
                  <c:v>返还原物纠纷</c:v>
                </c:pt>
                <c:pt idx="11">
                  <c:v>股东出资纠纷</c:v>
                </c:pt>
                <c:pt idx="12">
                  <c:v>股权转让纠纷</c:v>
                </c:pt>
                <c:pt idx="13">
                  <c:v>机动车交通事故责任纠纷</c:v>
                </c:pt>
                <c:pt idx="14">
                  <c:v>民事主体间房屋拆迁补偿合同纠纷</c:v>
                </c:pt>
                <c:pt idx="15">
                  <c:v>所有权纠纷</c:v>
                </c:pt>
                <c:pt idx="16">
                  <c:v>租赁合同纠纷</c:v>
                </c:pt>
              </c:strCache>
            </c:strRef>
          </c:cat>
          <c:val>
            <c:numRef>
              <c:f>Sheet1!$B$2:$B$18</c:f>
              <c:numCache>
                <c:formatCode>General</c:formatCode>
                <c:ptCount val="17"/>
                <c:pt idx="0">
                  <c:v>9</c:v>
                </c:pt>
                <c:pt idx="1">
                  <c:v>8</c:v>
                </c:pt>
                <c:pt idx="2">
                  <c:v>3</c:v>
                </c:pt>
                <c:pt idx="3">
                  <c:v>2</c:v>
                </c:pt>
                <c:pt idx="4">
                  <c:v>2</c:v>
                </c:pt>
                <c:pt idx="5">
                  <c:v>2</c:v>
                </c:pt>
                <c:pt idx="6">
                  <c:v>2</c:v>
                </c:pt>
                <c:pt idx="7">
                  <c:v>1</c:v>
                </c:pt>
                <c:pt idx="8">
                  <c:v>1</c:v>
                </c:pt>
                <c:pt idx="9">
                  <c:v>1</c:v>
                </c:pt>
                <c:pt idx="10">
                  <c:v>1</c:v>
                </c:pt>
                <c:pt idx="11">
                  <c:v>1</c:v>
                </c:pt>
                <c:pt idx="12">
                  <c:v>1</c:v>
                </c:pt>
                <c:pt idx="13">
                  <c:v>1</c:v>
                </c:pt>
                <c:pt idx="14">
                  <c:v>1</c:v>
                </c:pt>
                <c:pt idx="15">
                  <c:v>1</c:v>
                </c:pt>
                <c:pt idx="16">
                  <c:v>1</c:v>
                </c:pt>
              </c:numCache>
            </c:numRef>
          </c:val>
        </c:ser>
        <c:dLbls>
          <c:showLegendKey val="0"/>
          <c:showVal val="0"/>
          <c:showCatName val="1"/>
          <c:showSerName val="0"/>
          <c:showPercent val="1"/>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案件数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Pt>
            <c:idx val="17"/>
            <c:bubble3D val="0"/>
            <c:spPr>
              <a:solidFill>
                <a:schemeClr val="accent6">
                  <a:lumMod val="80000"/>
                  <a:lumOff val="20000"/>
                </a:schemeClr>
              </a:solidFill>
              <a:ln w="19050">
                <a:solidFill>
                  <a:schemeClr val="lt1"/>
                </a:solidFill>
              </a:ln>
              <a:effectLst/>
            </c:spPr>
          </c:dPt>
          <c:dPt>
            <c:idx val="18"/>
            <c:bubble3D val="0"/>
            <c:spPr>
              <a:solidFill>
                <a:schemeClr val="accent1">
                  <a:lumMod val="80000"/>
                </a:schemeClr>
              </a:solidFill>
              <a:ln w="19050">
                <a:solidFill>
                  <a:schemeClr val="lt1"/>
                </a:solidFill>
              </a:ln>
              <a:effectLst/>
            </c:spPr>
          </c:dPt>
          <c:dPt>
            <c:idx val="19"/>
            <c:bubble3D val="0"/>
            <c:spPr>
              <a:solidFill>
                <a:schemeClr val="accent2">
                  <a:lumMod val="80000"/>
                </a:schemeClr>
              </a:solidFill>
              <a:ln w="19050">
                <a:solidFill>
                  <a:schemeClr val="lt1"/>
                </a:solidFill>
              </a:ln>
              <a:effectLst/>
            </c:spPr>
          </c:dPt>
          <c:dLbls>
            <c:dLbl>
              <c:idx val="0"/>
              <c:layout>
                <c:manualLayout>
                  <c:x val="0.227839848359888"/>
                  <c:y val="0.081879025028220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2039022807324"/>
                  <c:y val="-0.162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7432607174405"/>
                  <c:y val="0.056535026227637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167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71815571586749"/>
                  <c:y val="0.025188107686326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172211668162884"/>
                  <c:y val="0.109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
                  <c:y val="0.1671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699005729892266"/>
                  <c:y val="0.18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438477269378892"/>
                  <c:y val="0.184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11447787279047"/>
                  <c:y val="0.1781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0"/>
              <c:layout>
                <c:manualLayout>
                  <c:x val="-0.0533885872710354"/>
                  <c:y val="0.0983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1"/>
              <c:layout>
                <c:manualLayout>
                  <c:x val="-0.123112513603077"/>
                  <c:y val="0.0543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2"/>
              <c:layout>
                <c:manualLayout>
                  <c:x val="-0.154818070222056"/>
                  <c:y val="0.0171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3"/>
              <c:layout>
                <c:manualLayout>
                  <c:x val="-0.153703059127834"/>
                  <c:y val="-0.01839877343587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4"/>
              <c:layout>
                <c:manualLayout>
                  <c:x val="-0.16096494106709"/>
                  <c:y val="-0.041620914593765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5"/>
              <c:layout>
                <c:manualLayout>
                  <c:x val="-0.07025"/>
                  <c:y val="-0.10241948836598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6"/>
              <c:layout>
                <c:manualLayout>
                  <c:x val="0.024625"/>
                  <c:y val="-0.0012445478154529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7"/>
              <c:layout>
                <c:manualLayout>
                  <c:x val="0.17812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8"/>
              <c:layout>
                <c:manualLayout>
                  <c:x val="0.36562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买卖合同纠纷</c:v>
                </c:pt>
                <c:pt idx="1">
                  <c:v>民间借贷纠纷</c:v>
                </c:pt>
                <c:pt idx="2">
                  <c:v>机动车交通事故责任纠纷</c:v>
                </c:pt>
                <c:pt idx="3">
                  <c:v>合同纠纷</c:v>
                </c:pt>
                <c:pt idx="4">
                  <c:v>生命权、身体权、健康权纠纷</c:v>
                </c:pt>
                <c:pt idx="5">
                  <c:v>案外人执行异议之诉</c:v>
                </c:pt>
                <c:pt idx="6">
                  <c:v>建设工程施工合同纠纷</c:v>
                </c:pt>
                <c:pt idx="7">
                  <c:v>劳动争议</c:v>
                </c:pt>
                <c:pt idx="8">
                  <c:v>委托合同纠纷</c:v>
                </c:pt>
                <c:pt idx="9">
                  <c:v>保险纠纷</c:v>
                </c:pt>
                <c:pt idx="10">
                  <c:v>财产损害赔偿纠纷</c:v>
                </c:pt>
                <c:pt idx="11">
                  <c:v>承揽合同纠纷</c:v>
                </c:pt>
                <c:pt idx="12">
                  <c:v>抵押合同纠纷</c:v>
                </c:pt>
                <c:pt idx="13">
                  <c:v>建设工程合同纠纷</c:v>
                </c:pt>
                <c:pt idx="14">
                  <c:v>借款合同纠纷</c:v>
                </c:pt>
                <c:pt idx="15">
                  <c:v>劳务合同纠纷</c:v>
                </c:pt>
                <c:pt idx="16">
                  <c:v>物权纠纷</c:v>
                </c:pt>
                <c:pt idx="17">
                  <c:v>物业服务合同纠纷</c:v>
                </c:pt>
                <c:pt idx="18">
                  <c:v>医疗损害责任纠纷</c:v>
                </c:pt>
                <c:pt idx="19">
                  <c:v>追偿权纠纷</c:v>
                </c:pt>
              </c:strCache>
            </c:strRef>
          </c:cat>
          <c:val>
            <c:numRef>
              <c:f>Sheet1!$B$2:$B$21</c:f>
              <c:numCache>
                <c:formatCode>General</c:formatCode>
                <c:ptCount val="20"/>
                <c:pt idx="0">
                  <c:v>9</c:v>
                </c:pt>
                <c:pt idx="1">
                  <c:v>9</c:v>
                </c:pt>
                <c:pt idx="2">
                  <c:v>7</c:v>
                </c:pt>
                <c:pt idx="3">
                  <c:v>6</c:v>
                </c:pt>
                <c:pt idx="4">
                  <c:v>6</c:v>
                </c:pt>
                <c:pt idx="5">
                  <c:v>4</c:v>
                </c:pt>
                <c:pt idx="6">
                  <c:v>4</c:v>
                </c:pt>
                <c:pt idx="7">
                  <c:v>2</c:v>
                </c:pt>
                <c:pt idx="8">
                  <c:v>2</c:v>
                </c:pt>
                <c:pt idx="9">
                  <c:v>1</c:v>
                </c:pt>
                <c:pt idx="10">
                  <c:v>1</c:v>
                </c:pt>
                <c:pt idx="11">
                  <c:v>1</c:v>
                </c:pt>
                <c:pt idx="12">
                  <c:v>1</c:v>
                </c:pt>
                <c:pt idx="13">
                  <c:v>1</c:v>
                </c:pt>
                <c:pt idx="14">
                  <c:v>1</c:v>
                </c:pt>
                <c:pt idx="15">
                  <c:v>1</c:v>
                </c:pt>
                <c:pt idx="16">
                  <c:v>1</c:v>
                </c:pt>
                <c:pt idx="17">
                  <c:v>1</c:v>
                </c:pt>
                <c:pt idx="18">
                  <c:v>1</c:v>
                </c:pt>
                <c:pt idx="19">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上诉案件数</a:t>
            </a:r>
          </a:p>
        </c:rich>
      </c:tx>
      <c:layout/>
      <c:overlay val="0"/>
      <c:spPr>
        <a:noFill/>
        <a:ln>
          <a:noFill/>
        </a:ln>
        <a:effectLst/>
      </c:spPr>
    </c:title>
    <c:autoTitleDeleted val="0"/>
    <c:plotArea>
      <c:layout/>
      <c:pieChart>
        <c:varyColors val="1"/>
        <c:ser>
          <c:idx val="0"/>
          <c:order val="0"/>
          <c:tx>
            <c:strRef>
              <c:f>Sheet1!$B$1</c:f>
              <c:strCache>
                <c:ptCount val="1"/>
                <c:pt idx="0">
                  <c:v>案件数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Lbls>
            <c:dLbl>
              <c:idx val="0"/>
              <c:layout>
                <c:manualLayout>
                  <c:x val="0.172497276358794"/>
                  <c:y val="-0.051099718868860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3737139126017"/>
                  <c:y val="-0.038696874483214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52160755356494"/>
                  <c:y val="-0.032578137919629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635032078440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794092724851713"/>
                  <c:y val="0.02166363486026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120324415930275"/>
                  <c:y val="0.09145030593682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140293292089904"/>
                  <c:y val="0.096246072432611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907880401888391"/>
                  <c:y val="0.040350587067967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099866844207723"/>
                  <c:y val="-0.01240284438564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0"/>
              <c:layout>
                <c:manualLayout>
                  <c:x val="-0.0748093451156034"/>
                  <c:y val="-0.058872168017198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1"/>
              <c:layout>
                <c:manualLayout>
                  <c:x val="-0.0158576443529839"/>
                  <c:y val="-0.14271539606416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2"/>
              <c:layout>
                <c:manualLayout>
                  <c:x val="-0.0215470282048178"/>
                  <c:y val="-0.09145030593682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开设赌场罪</c:v>
                </c:pt>
                <c:pt idx="1">
                  <c:v>非法吸收公众存款罪</c:v>
                </c:pt>
                <c:pt idx="2">
                  <c:v>生产、销售有毒、有害食品罪</c:v>
                </c:pt>
                <c:pt idx="3">
                  <c:v>诈骗罪</c:v>
                </c:pt>
                <c:pt idx="4">
                  <c:v>盗窃罪</c:v>
                </c:pt>
                <c:pt idx="5">
                  <c:v>危险驾驶罪</c:v>
                </c:pt>
                <c:pt idx="6">
                  <c:v>妨害公务罪</c:v>
                </c:pt>
                <c:pt idx="7">
                  <c:v>故意伤害罪</c:v>
                </c:pt>
                <c:pt idx="8">
                  <c:v>合同诈骗罪</c:v>
                </c:pt>
                <c:pt idx="9">
                  <c:v>强奸罪</c:v>
                </c:pt>
                <c:pt idx="10">
                  <c:v>受贿罪</c:v>
                </c:pt>
                <c:pt idx="11">
                  <c:v>寻衅滋事罪</c:v>
                </c:pt>
                <c:pt idx="12">
                  <c:v>其他</c:v>
                </c:pt>
              </c:strCache>
            </c:strRef>
          </c:cat>
          <c:val>
            <c:numRef>
              <c:f>Sheet1!$B$2:$B$14</c:f>
              <c:numCache>
                <c:formatCode>General</c:formatCode>
                <c:ptCount val="13"/>
                <c:pt idx="0">
                  <c:v>13</c:v>
                </c:pt>
                <c:pt idx="1">
                  <c:v>6</c:v>
                </c:pt>
                <c:pt idx="2">
                  <c:v>5</c:v>
                </c:pt>
                <c:pt idx="3">
                  <c:v>5</c:v>
                </c:pt>
                <c:pt idx="4">
                  <c:v>4</c:v>
                </c:pt>
                <c:pt idx="5">
                  <c:v>3</c:v>
                </c:pt>
                <c:pt idx="6">
                  <c:v>2</c:v>
                </c:pt>
                <c:pt idx="7">
                  <c:v>2</c:v>
                </c:pt>
                <c:pt idx="8">
                  <c:v>2</c:v>
                </c:pt>
                <c:pt idx="9">
                  <c:v>2</c:v>
                </c:pt>
                <c:pt idx="10">
                  <c:v>2</c:v>
                </c:pt>
                <c:pt idx="11">
                  <c:v>2</c:v>
                </c:pt>
                <c:pt idx="12">
                  <c:v>12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申诉案件数</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Pt>
            <c:idx val="8"/>
            <c:bubble3D val="0"/>
            <c:spPr>
              <a:solidFill>
                <a:schemeClr val="accent3">
                  <a:lumMod val="60000"/>
                </a:schemeClr>
              </a:solidFill>
              <a:ln w="25400">
                <a:solidFill>
                  <a:schemeClr val="lt1"/>
                </a:solidFill>
              </a:ln>
              <a:effectLst/>
              <a:scene3d>
                <a:camera prst="orthographicFront"/>
                <a:lightRig rig="threePt" dir="t"/>
              </a:scene3d>
              <a:sp3d contourW="25400"/>
            </c:spPr>
          </c:dPt>
          <c:dPt>
            <c:idx val="9"/>
            <c:bubble3D val="0"/>
            <c:spPr>
              <a:solidFill>
                <a:schemeClr val="accent4">
                  <a:lumMod val="60000"/>
                </a:schemeClr>
              </a:solidFill>
              <a:ln w="25400">
                <a:solidFill>
                  <a:schemeClr val="lt1"/>
                </a:solidFill>
              </a:ln>
              <a:effectLst/>
              <a:scene3d>
                <a:camera prst="orthographicFront"/>
                <a:lightRig rig="threePt" dir="t"/>
              </a:scene3d>
              <a:sp3d contourW="25400"/>
            </c:spPr>
          </c:dPt>
          <c:dPt>
            <c:idx val="10"/>
            <c:bubble3D val="0"/>
            <c:spPr>
              <a:solidFill>
                <a:schemeClr val="accent5">
                  <a:lumMod val="60000"/>
                </a:schemeClr>
              </a:solidFill>
              <a:ln w="25400">
                <a:solidFill>
                  <a:schemeClr val="lt1"/>
                </a:solidFill>
              </a:ln>
              <a:effectLst/>
              <a:scene3d>
                <a:camera prst="orthographicFront"/>
                <a:lightRig rig="threePt" dir="t"/>
              </a:scene3d>
              <a:sp3d contourW="25400"/>
            </c:spPr>
          </c:dPt>
          <c:dLbls>
            <c:dLbl>
              <c:idx val="0"/>
              <c:layout>
                <c:manualLayout>
                  <c:x val="0.14775"/>
                  <c:y val="-0.07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11138572656496"/>
                  <c:y val="-0.0546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934258487643954"/>
                  <c:y val="0.00783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5625"/>
                  <c:y val="0.0453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237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39125"/>
                  <c:y val="0.13616871560970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
                  <c:y val="0.032218532210265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110947092056865"/>
                  <c:y val="0.0828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24625"/>
                  <c:y val="-0.00466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
                  <c:y val="-0.0796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0"/>
              <c:layout>
                <c:manualLayout>
                  <c:x val="-0.02925"/>
                  <c:y val="-0.1391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敲诈勒索罪</c:v>
                </c:pt>
                <c:pt idx="1">
                  <c:v>受贿罪</c:v>
                </c:pt>
                <c:pt idx="2">
                  <c:v>寻衅滋事罪</c:v>
                </c:pt>
                <c:pt idx="3">
                  <c:v>过失致人死亡罪</c:v>
                </c:pt>
                <c:pt idx="4">
                  <c:v>抢劫罪</c:v>
                </c:pt>
                <c:pt idx="5">
                  <c:v>生产、销售有毒、有害食品罪</c:v>
                </c:pt>
                <c:pt idx="6">
                  <c:v>信用卡诈骗罪</c:v>
                </c:pt>
                <c:pt idx="7">
                  <c:v>虚假诉讼罪</c:v>
                </c:pt>
                <c:pt idx="8">
                  <c:v>掩饰、隐瞒犯罪所得、犯罪所得收益罪</c:v>
                </c:pt>
                <c:pt idx="9">
                  <c:v>引诱、容留、介绍卖淫罪</c:v>
                </c:pt>
                <c:pt idx="10">
                  <c:v>诈骗罪</c:v>
                </c:pt>
              </c:strCache>
            </c:strRef>
          </c:cat>
          <c:val>
            <c:numRef>
              <c:f>Sheet1!$B$2:$B$12</c:f>
              <c:numCache>
                <c:formatCode>General</c:formatCode>
                <c:ptCount val="11"/>
                <c:pt idx="0">
                  <c:v>4</c:v>
                </c:pt>
                <c:pt idx="1">
                  <c:v>2</c:v>
                </c:pt>
                <c:pt idx="2">
                  <c:v>2</c:v>
                </c:pt>
                <c:pt idx="3">
                  <c:v>1</c:v>
                </c:pt>
                <c:pt idx="4">
                  <c:v>1</c:v>
                </c:pt>
                <c:pt idx="5">
                  <c:v>1</c:v>
                </c:pt>
                <c:pt idx="6">
                  <c:v>1</c:v>
                </c:pt>
                <c:pt idx="7">
                  <c:v>1</c:v>
                </c:pt>
                <c:pt idx="8">
                  <c:v>1</c:v>
                </c:pt>
                <c:pt idx="9">
                  <c:v>1</c:v>
                </c:pt>
                <c:pt idx="10">
                  <c:v>1</c:v>
                </c:pt>
              </c:numCache>
            </c:numRef>
          </c:val>
        </c:ser>
        <c:dLbls>
          <c:showLegendKey val="0"/>
          <c:showVal val="1"/>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刑事发改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0.148875"/>
                  <c:y val="-0.0421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1375"/>
                  <c:y val="0.1421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
                  <c:y val="-0.0328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25"/>
                  <c:y val="0.12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
                  <c:y val="-0.001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3875"/>
                  <c:y val="-0.08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137125"/>
                  <c:y val="-0.03283333333333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非法吸收公众存款罪</c:v>
                </c:pt>
                <c:pt idx="1">
                  <c:v>合同诈骗罪</c:v>
                </c:pt>
                <c:pt idx="2">
                  <c:v>开设赌场罪</c:v>
                </c:pt>
                <c:pt idx="3">
                  <c:v>诈骗罪</c:v>
                </c:pt>
                <c:pt idx="4">
                  <c:v>妨害公务罪</c:v>
                </c:pt>
                <c:pt idx="5">
                  <c:v>非国家工作人员受贿罪</c:v>
                </c:pt>
                <c:pt idx="6">
                  <c:v>抢劫罪</c:v>
                </c:pt>
                <c:pt idx="7">
                  <c:v>信用卡诈骗罪</c:v>
                </c:pt>
                <c:pt idx="8">
                  <c:v>引诱、容留、介绍卖淫罪</c:v>
                </c:pt>
              </c:strCache>
            </c:strRef>
          </c:cat>
          <c:val>
            <c:numRef>
              <c:f>Sheet1!$B$2:$B$10</c:f>
              <c:numCache>
                <c:formatCode>General</c:formatCode>
                <c:ptCount val="9"/>
                <c:pt idx="0">
                  <c:v>4</c:v>
                </c:pt>
                <c:pt idx="1">
                  <c:v>3</c:v>
                </c:pt>
                <c:pt idx="2">
                  <c:v>3</c:v>
                </c:pt>
                <c:pt idx="3">
                  <c:v>3</c:v>
                </c:pt>
                <c:pt idx="4">
                  <c:v>1</c:v>
                </c:pt>
                <c:pt idx="5">
                  <c:v>1</c:v>
                </c:pt>
                <c:pt idx="6">
                  <c:v>1</c:v>
                </c:pt>
                <c:pt idx="7">
                  <c:v>1</c:v>
                </c:pt>
                <c:pt idx="8">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648</Words>
  <Characters>3700</Characters>
  <Lines>30</Lines>
  <Paragraphs>8</Paragraphs>
  <TotalTime>25</TotalTime>
  <ScaleCrop>false</ScaleCrop>
  <LinksUpToDate>false</LinksUpToDate>
  <CharactersWithSpaces>4340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2020-03-06T01:19:00Z</dcterms:created>
  <dc:creator>张玉龙</dc:creator>
  <cp:lastModifiedBy>心唯</cp:lastModifiedBy>
  <cp:lastPrinted>2020-02-27T08:12:00Z</cp:lastPrinted>
  <dcterms:modified xsi:type="dcterms:W3CDTF">2022-01-06T03:25:46Z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D8DA9611D546411D9C272E678742EDBF</vt:lpwstr>
  </property>
</Properties>
</file>